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9632" w14:textId="77777777" w:rsidR="00151A02" w:rsidRDefault="00151A02">
      <w:pPr>
        <w:ind w:left="0" w:firstLine="0"/>
        <w:jc w:val="both"/>
      </w:pPr>
    </w:p>
    <w:p w14:paraId="355F02EE" w14:textId="77777777" w:rsidR="007C26FE" w:rsidRPr="00873C18" w:rsidRDefault="00BF198A">
      <w:pPr>
        <w:pStyle w:val="Nadpis1"/>
        <w:numPr>
          <w:ilvl w:val="0"/>
          <w:numId w:val="2"/>
        </w:numPr>
        <w:jc w:val="both"/>
      </w:pPr>
      <w:r w:rsidRPr="00873C18">
        <w:t xml:space="preserve">Souhrnná technická zpráva </w:t>
      </w:r>
    </w:p>
    <w:p w14:paraId="19003C6E" w14:textId="77777777" w:rsidR="007C26FE" w:rsidRPr="00873C18" w:rsidRDefault="00BF198A">
      <w:pPr>
        <w:pStyle w:val="Nadpis4"/>
        <w:numPr>
          <w:ilvl w:val="3"/>
          <w:numId w:val="3"/>
        </w:numPr>
        <w:suppressLineNumbers/>
        <w:suppressAutoHyphens/>
        <w:jc w:val="both"/>
      </w:pPr>
      <w:r w:rsidRPr="00873C18">
        <w:t>Popis území stavby, ochrana území podle jiných právních předpisů, zvláště chráněné území, záplavové území apod.</w:t>
      </w:r>
    </w:p>
    <w:p w14:paraId="391B04E1" w14:textId="77777777" w:rsidR="007C26FE" w:rsidRPr="00873C18" w:rsidRDefault="007C26FE">
      <w:pPr>
        <w:jc w:val="both"/>
      </w:pPr>
    </w:p>
    <w:p w14:paraId="03C8F0A4" w14:textId="2D127D2F" w:rsidR="00B87373" w:rsidRPr="00873C18" w:rsidRDefault="00B87373" w:rsidP="008A7427">
      <w:pPr>
        <w:jc w:val="both"/>
      </w:pPr>
      <w:r w:rsidRPr="00873C18">
        <w:t>Části textu této zprávy jsou popisem konstrukcí, které byly ve výchozí projektové dokumentaci navrženy. Je tedy možné, že skutečné provedení a aktuální stav některých konstrukčních částí budovy nejsou s tímto popisem úplně v souladu, podobně jako jeho výkresy.</w:t>
      </w:r>
    </w:p>
    <w:p w14:paraId="03AFA5A2" w14:textId="517B5717" w:rsidR="007C26FE" w:rsidRPr="00873C18" w:rsidRDefault="00283CB7" w:rsidP="008A7427">
      <w:pPr>
        <w:jc w:val="both"/>
      </w:pPr>
      <w:r w:rsidRPr="00873C18">
        <w:t xml:space="preserve">Objekt je </w:t>
      </w:r>
      <w:r w:rsidR="008A7427" w:rsidRPr="00873C18">
        <w:t>situován na svažitém pozemku východní části čtvrti Rochlice v jihovýchodní části města Liberec. Horní část pozemku navazuje na komunikaci, ze které je pozemek přístupný. Spodní část pozemku svažuje směrem k ulici Vratislavická, se kterou je objekt propojen komunikací pro pěší.</w:t>
      </w:r>
    </w:p>
    <w:p w14:paraId="776400DC" w14:textId="77777777" w:rsidR="008A7427" w:rsidRPr="00873C18" w:rsidRDefault="008A7427" w:rsidP="008A7427">
      <w:pPr>
        <w:jc w:val="both"/>
      </w:pPr>
    </w:p>
    <w:p w14:paraId="0471E9E8" w14:textId="77777777" w:rsidR="007C26FE" w:rsidRPr="00873C18" w:rsidRDefault="00BF198A">
      <w:pPr>
        <w:ind w:firstLine="0"/>
        <w:jc w:val="both"/>
      </w:pPr>
      <w:r w:rsidRPr="00873C18">
        <w:t>Objekt se nenachází v chráněném území podle jiných právních předpisů, ve zvláště chráněném území ani v záplavovém území. K objektu nejsou evidovány žádné způsoby ochrany.</w:t>
      </w:r>
    </w:p>
    <w:p w14:paraId="212729A6" w14:textId="77777777" w:rsidR="007C26FE" w:rsidRPr="00873C18" w:rsidRDefault="007C26FE">
      <w:pPr>
        <w:pStyle w:val="Zkladntext"/>
        <w:jc w:val="both"/>
      </w:pPr>
    </w:p>
    <w:p w14:paraId="767579E7" w14:textId="427C0098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Popis stavby.</w:t>
      </w:r>
    </w:p>
    <w:p w14:paraId="13D28064" w14:textId="77777777" w:rsidR="007C26FE" w:rsidRPr="00873C18" w:rsidRDefault="00BF198A">
      <w:pPr>
        <w:pStyle w:val="Nadpis5"/>
        <w:numPr>
          <w:ilvl w:val="0"/>
          <w:numId w:val="4"/>
        </w:numPr>
        <w:jc w:val="both"/>
        <w:rPr>
          <w:b/>
        </w:rPr>
      </w:pPr>
      <w:r w:rsidRPr="00873C18">
        <w:rPr>
          <w:b/>
        </w:rPr>
        <w:t>Účel užívání stavby</w:t>
      </w:r>
    </w:p>
    <w:p w14:paraId="0C2E6D77" w14:textId="7ECF7A8F" w:rsidR="007C26FE" w:rsidRPr="00066C89" w:rsidRDefault="00066C89" w:rsidP="00066C89">
      <w:pPr>
        <w:pStyle w:val="Zkladntext"/>
        <w:ind w:left="284"/>
        <w:jc w:val="both"/>
        <w:rPr>
          <w:sz w:val="20"/>
          <w:szCs w:val="20"/>
        </w:rPr>
      </w:pPr>
      <w:r w:rsidRPr="00066C89">
        <w:rPr>
          <w:sz w:val="20"/>
          <w:szCs w:val="20"/>
        </w:rPr>
        <w:t>Bytový dům. V 2.PP a 1.PP se nachází nebytové prostory – sklepní kóje. V 1.NP se nachází nebytové prostory pro pečovatelskou službu.</w:t>
      </w:r>
    </w:p>
    <w:p w14:paraId="6C2A32A3" w14:textId="77777777" w:rsidR="007C26FE" w:rsidRPr="00873C18" w:rsidRDefault="00BF198A">
      <w:pPr>
        <w:pStyle w:val="Nadpis5"/>
        <w:numPr>
          <w:ilvl w:val="0"/>
          <w:numId w:val="4"/>
        </w:numPr>
        <w:jc w:val="both"/>
        <w:rPr>
          <w:b/>
        </w:rPr>
      </w:pPr>
      <w:r w:rsidRPr="00873C18">
        <w:rPr>
          <w:b/>
        </w:rPr>
        <w:t>Trvalá nebo dočasná stavba</w:t>
      </w:r>
    </w:p>
    <w:p w14:paraId="29E59133" w14:textId="77777777" w:rsidR="007C26FE" w:rsidRPr="00873C18" w:rsidRDefault="00BF198A">
      <w:pPr>
        <w:jc w:val="both"/>
      </w:pPr>
      <w:r w:rsidRPr="00873C18">
        <w:t>Jedná se o trvalou stavbu.</w:t>
      </w:r>
    </w:p>
    <w:p w14:paraId="67002046" w14:textId="77777777" w:rsidR="007C26FE" w:rsidRPr="00873C18" w:rsidRDefault="007C26FE">
      <w:pPr>
        <w:pStyle w:val="Zkladntext"/>
        <w:jc w:val="both"/>
      </w:pPr>
    </w:p>
    <w:p w14:paraId="0AE319F7" w14:textId="77777777" w:rsidR="007C26FE" w:rsidRPr="00873C18" w:rsidRDefault="00BF198A">
      <w:pPr>
        <w:pStyle w:val="Nadpis5"/>
        <w:numPr>
          <w:ilvl w:val="0"/>
          <w:numId w:val="4"/>
        </w:numPr>
        <w:jc w:val="both"/>
        <w:rPr>
          <w:b/>
        </w:rPr>
      </w:pPr>
      <w:r w:rsidRPr="00873C18">
        <w:rPr>
          <w:b/>
        </w:rPr>
        <w:t>Ochrana stavby podle jiných právních předpisů</w:t>
      </w:r>
    </w:p>
    <w:p w14:paraId="4567C7DC" w14:textId="77777777" w:rsidR="007C26FE" w:rsidRPr="00873C18" w:rsidRDefault="00BF198A">
      <w:pPr>
        <w:jc w:val="both"/>
      </w:pPr>
      <w:r w:rsidRPr="00873C18">
        <w:t>K objektu nejsou evidovány žádné způsoby ochrany.</w:t>
      </w:r>
    </w:p>
    <w:p w14:paraId="396B266D" w14:textId="77777777" w:rsidR="007C26FE" w:rsidRPr="00873C18" w:rsidRDefault="007C26FE">
      <w:pPr>
        <w:pStyle w:val="Zkladntext"/>
        <w:jc w:val="both"/>
      </w:pPr>
    </w:p>
    <w:p w14:paraId="5EAE05D4" w14:textId="77777777" w:rsidR="007C26FE" w:rsidRPr="00873C18" w:rsidRDefault="00BF198A">
      <w:pPr>
        <w:pStyle w:val="Nadpis5"/>
        <w:numPr>
          <w:ilvl w:val="0"/>
          <w:numId w:val="4"/>
        </w:numPr>
        <w:jc w:val="both"/>
        <w:rPr>
          <w:b/>
        </w:rPr>
      </w:pPr>
      <w:r w:rsidRPr="00873C18">
        <w:rPr>
          <w:b/>
        </w:rPr>
        <w:t xml:space="preserve">Parametry </w:t>
      </w:r>
      <w:proofErr w:type="gramStart"/>
      <w:r w:rsidRPr="00873C18">
        <w:rPr>
          <w:b/>
        </w:rPr>
        <w:t>stavby - zastavěná</w:t>
      </w:r>
      <w:proofErr w:type="gramEnd"/>
      <w:r w:rsidRPr="00873C18">
        <w:rPr>
          <w:b/>
        </w:rPr>
        <w:t xml:space="preserve"> plocha, obestavěný prostor, užitná plocha, počet funkčních jednotek a jejich velikosti apod.</w:t>
      </w:r>
    </w:p>
    <w:p w14:paraId="552274E0" w14:textId="77777777" w:rsidR="007C26FE" w:rsidRPr="00873C18" w:rsidRDefault="007C26FE">
      <w:pPr>
        <w:jc w:val="both"/>
      </w:pPr>
    </w:p>
    <w:p w14:paraId="25EA8D91" w14:textId="31D2B295" w:rsidR="007C26FE" w:rsidRPr="00873C18" w:rsidRDefault="00BF198A">
      <w:pPr>
        <w:jc w:val="both"/>
      </w:pPr>
      <w:r w:rsidRPr="00873C18">
        <w:t>Výměra dle katastru nemovitosti:</w:t>
      </w:r>
      <w:r w:rsidRPr="00873C18">
        <w:tab/>
      </w:r>
      <w:r w:rsidR="008A7427" w:rsidRPr="00873C18">
        <w:t>593</w:t>
      </w:r>
      <w:r w:rsidRPr="00873C18">
        <w:t xml:space="preserve"> m2</w:t>
      </w:r>
    </w:p>
    <w:p w14:paraId="3245C580" w14:textId="2198ACD1" w:rsidR="007C26FE" w:rsidRPr="00873C18" w:rsidRDefault="00BF198A">
      <w:pPr>
        <w:jc w:val="both"/>
      </w:pPr>
      <w:r w:rsidRPr="00873C18">
        <w:t xml:space="preserve">Nadmořská výška ~ </w:t>
      </w:r>
      <w:r w:rsidR="001454D0" w:rsidRPr="00873C18">
        <w:t>396-398</w:t>
      </w:r>
      <w:r w:rsidRPr="00873C18">
        <w:t xml:space="preserve"> metrů n. m.</w:t>
      </w:r>
    </w:p>
    <w:p w14:paraId="01E3388C" w14:textId="77777777" w:rsidR="00BF5D15" w:rsidRPr="00873C18" w:rsidRDefault="00BF5D15">
      <w:pPr>
        <w:jc w:val="both"/>
      </w:pPr>
    </w:p>
    <w:p w14:paraId="7BFF8ADC" w14:textId="4163653B" w:rsidR="00BF5D15" w:rsidRPr="00873C18" w:rsidRDefault="001454D0" w:rsidP="00BF5D15">
      <w:pPr>
        <w:pStyle w:val="Odstavecseseznamem"/>
        <w:numPr>
          <w:ilvl w:val="0"/>
          <w:numId w:val="8"/>
        </w:numPr>
        <w:jc w:val="both"/>
      </w:pPr>
      <w:r w:rsidRPr="00873C18">
        <w:t>59</w:t>
      </w:r>
      <w:r w:rsidR="00BF5D15" w:rsidRPr="00873C18">
        <w:t xml:space="preserve"> obytn</w:t>
      </w:r>
      <w:r w:rsidRPr="00873C18">
        <w:t>ých</w:t>
      </w:r>
      <w:r w:rsidR="00BF5D15" w:rsidRPr="00873C18">
        <w:t xml:space="preserve"> jednot</w:t>
      </w:r>
      <w:r w:rsidRPr="00873C18">
        <w:t>e</w:t>
      </w:r>
      <w:r w:rsidR="00BF5D15" w:rsidRPr="00873C18">
        <w:t>k</w:t>
      </w:r>
      <w:r w:rsidRPr="00873C18">
        <w:t>, s</w:t>
      </w:r>
      <w:r w:rsidR="00F113AD" w:rsidRPr="00873C18">
        <w:t>klepy rozdě</w:t>
      </w:r>
      <w:r w:rsidR="001C2F03" w:rsidRPr="00873C18">
        <w:t>l</w:t>
      </w:r>
      <w:r w:rsidR="00F113AD" w:rsidRPr="00873C18">
        <w:t>ené na 57 kójí, předávací stanice</w:t>
      </w:r>
    </w:p>
    <w:p w14:paraId="39B68077" w14:textId="77777777" w:rsidR="007C26FE" w:rsidRPr="00873C18" w:rsidRDefault="007C26FE">
      <w:pPr>
        <w:ind w:firstLine="0"/>
        <w:jc w:val="both"/>
        <w:rPr>
          <w:rFonts w:cs="Arial"/>
          <w:szCs w:val="20"/>
        </w:rPr>
      </w:pPr>
    </w:p>
    <w:p w14:paraId="296B1B37" w14:textId="6FF9CF07" w:rsidR="007C26FE" w:rsidRPr="00873C18" w:rsidRDefault="00BF198A">
      <w:pPr>
        <w:ind w:firstLine="0"/>
        <w:jc w:val="both"/>
        <w:rPr>
          <w:rFonts w:cs="Arial"/>
          <w:szCs w:val="20"/>
        </w:rPr>
      </w:pPr>
      <w:r w:rsidRPr="00873C18">
        <w:rPr>
          <w:rFonts w:cs="Arial"/>
          <w:szCs w:val="20"/>
        </w:rPr>
        <w:tab/>
        <w:t xml:space="preserve">Zastavěná plocha </w:t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="001D20B9" w:rsidRPr="00873C18">
        <w:rPr>
          <w:rFonts w:cs="Arial"/>
          <w:szCs w:val="20"/>
        </w:rPr>
        <w:t>594,73</w:t>
      </w:r>
      <w:r w:rsidRPr="00873C18">
        <w:rPr>
          <w:rFonts w:cs="Arial"/>
          <w:szCs w:val="20"/>
        </w:rPr>
        <w:t xml:space="preserve"> m</w:t>
      </w:r>
      <w:r w:rsidRPr="00873C18">
        <w:rPr>
          <w:rFonts w:cs="Arial"/>
          <w:szCs w:val="20"/>
          <w:vertAlign w:val="superscript"/>
        </w:rPr>
        <w:t>2</w:t>
      </w:r>
    </w:p>
    <w:p w14:paraId="0AB2820C" w14:textId="1FD593F3" w:rsidR="00723A44" w:rsidRPr="00873C18" w:rsidRDefault="00BF198A" w:rsidP="00723A44">
      <w:pPr>
        <w:ind w:firstLine="0"/>
        <w:jc w:val="both"/>
        <w:rPr>
          <w:rFonts w:cs="Arial"/>
          <w:szCs w:val="20"/>
        </w:rPr>
      </w:pPr>
      <w:r w:rsidRPr="00873C18">
        <w:rPr>
          <w:rFonts w:cs="Arial"/>
          <w:szCs w:val="20"/>
        </w:rPr>
        <w:tab/>
      </w:r>
      <w:r w:rsidR="00723A44" w:rsidRPr="00873C18">
        <w:rPr>
          <w:rFonts w:cs="Arial"/>
          <w:szCs w:val="20"/>
        </w:rPr>
        <w:t xml:space="preserve">Užitná plocha </w:t>
      </w:r>
      <w:r w:rsidR="00DC050A" w:rsidRPr="00873C18">
        <w:rPr>
          <w:rFonts w:cs="Arial"/>
          <w:szCs w:val="20"/>
        </w:rPr>
        <w:tab/>
      </w:r>
      <w:r w:rsidR="00DC050A" w:rsidRPr="00873C18">
        <w:rPr>
          <w:rFonts w:cs="Arial"/>
          <w:szCs w:val="20"/>
        </w:rPr>
        <w:tab/>
      </w:r>
      <w:r w:rsidR="00DC050A" w:rsidRPr="00873C18">
        <w:rPr>
          <w:rFonts w:cs="Arial"/>
          <w:szCs w:val="20"/>
        </w:rPr>
        <w:tab/>
      </w:r>
      <w:r w:rsidR="00DC050A" w:rsidRPr="00873C18">
        <w:rPr>
          <w:rFonts w:cs="Arial"/>
          <w:szCs w:val="20"/>
        </w:rPr>
        <w:tab/>
      </w:r>
      <w:r w:rsidR="00723A44" w:rsidRPr="00873C18">
        <w:rPr>
          <w:rFonts w:cs="Arial"/>
          <w:szCs w:val="20"/>
        </w:rPr>
        <w:tab/>
      </w:r>
      <w:r w:rsidR="00723A44" w:rsidRPr="00873C18">
        <w:rPr>
          <w:rFonts w:cs="Arial"/>
          <w:szCs w:val="20"/>
        </w:rPr>
        <w:tab/>
      </w:r>
      <w:r w:rsidR="00D27ADA" w:rsidRPr="00873C18">
        <w:rPr>
          <w:rFonts w:cs="Arial"/>
          <w:szCs w:val="20"/>
        </w:rPr>
        <w:t>4025,247</w:t>
      </w:r>
      <w:r w:rsidR="00DC050A" w:rsidRPr="00873C18">
        <w:rPr>
          <w:rFonts w:cs="Arial"/>
          <w:szCs w:val="20"/>
        </w:rPr>
        <w:t xml:space="preserve"> </w:t>
      </w:r>
      <w:proofErr w:type="gramStart"/>
      <w:r w:rsidR="002E7A01" w:rsidRPr="00873C18">
        <w:rPr>
          <w:rFonts w:cs="Arial"/>
          <w:szCs w:val="20"/>
        </w:rPr>
        <w:t>m</w:t>
      </w:r>
      <w:r w:rsidR="002E7A01" w:rsidRPr="00873C18">
        <w:rPr>
          <w:rFonts w:cs="Arial"/>
          <w:szCs w:val="20"/>
          <w:vertAlign w:val="superscript"/>
        </w:rPr>
        <w:t xml:space="preserve">2 </w:t>
      </w:r>
      <w:r w:rsidR="00723A44" w:rsidRPr="00873C18">
        <w:rPr>
          <w:rFonts w:cs="Arial"/>
          <w:szCs w:val="20"/>
        </w:rPr>
        <w:t>- viz</w:t>
      </w:r>
      <w:proofErr w:type="gramEnd"/>
      <w:r w:rsidR="00723A44" w:rsidRPr="00873C18">
        <w:rPr>
          <w:rFonts w:cs="Arial"/>
          <w:szCs w:val="20"/>
        </w:rPr>
        <w:t xml:space="preserve"> tabulka místností (výkresová část)</w:t>
      </w:r>
    </w:p>
    <w:p w14:paraId="4E472EFB" w14:textId="0E05AEA3" w:rsidR="007C26FE" w:rsidRPr="00873C18" w:rsidRDefault="00BF198A">
      <w:pPr>
        <w:ind w:firstLine="0"/>
        <w:jc w:val="both"/>
        <w:rPr>
          <w:rFonts w:cs="Arial"/>
          <w:szCs w:val="20"/>
        </w:rPr>
      </w:pPr>
      <w:r w:rsidRPr="00873C18">
        <w:rPr>
          <w:rFonts w:cs="Arial"/>
          <w:szCs w:val="20"/>
        </w:rPr>
        <w:tab/>
        <w:t xml:space="preserve">Obestavěný prostor </w:t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="001D20B9" w:rsidRPr="00873C18">
        <w:rPr>
          <w:rFonts w:cs="Arial"/>
          <w:szCs w:val="20"/>
        </w:rPr>
        <w:t>14 552,75</w:t>
      </w:r>
      <w:r w:rsidRPr="00873C18">
        <w:rPr>
          <w:rFonts w:cs="Arial"/>
          <w:szCs w:val="20"/>
        </w:rPr>
        <w:t xml:space="preserve"> m</w:t>
      </w:r>
      <w:r w:rsidRPr="00873C18">
        <w:rPr>
          <w:rFonts w:cs="Arial"/>
          <w:szCs w:val="20"/>
          <w:vertAlign w:val="superscript"/>
        </w:rPr>
        <w:t>3</w:t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</w:p>
    <w:p w14:paraId="1BE23139" w14:textId="77777777" w:rsidR="007C26FE" w:rsidRPr="00873C18" w:rsidRDefault="00BF198A">
      <w:pPr>
        <w:ind w:firstLine="0"/>
        <w:jc w:val="both"/>
        <w:rPr>
          <w:rFonts w:cs="Arial"/>
          <w:szCs w:val="20"/>
        </w:rPr>
      </w:pP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  <w:r w:rsidRPr="00873C18">
        <w:rPr>
          <w:rFonts w:cs="Arial"/>
          <w:szCs w:val="20"/>
        </w:rPr>
        <w:tab/>
      </w:r>
    </w:p>
    <w:p w14:paraId="79148AC6" w14:textId="49EF0E81" w:rsidR="007C26FE" w:rsidRPr="00873C18" w:rsidRDefault="00BF198A">
      <w:pPr>
        <w:pStyle w:val="Nadpis5"/>
        <w:numPr>
          <w:ilvl w:val="0"/>
          <w:numId w:val="4"/>
        </w:numPr>
        <w:jc w:val="both"/>
      </w:pPr>
      <w:r w:rsidRPr="00873C18">
        <w:rPr>
          <w:b/>
        </w:rPr>
        <w:t xml:space="preserve">Základní bilance </w:t>
      </w:r>
      <w:proofErr w:type="gramStart"/>
      <w:r w:rsidRPr="00873C18">
        <w:rPr>
          <w:b/>
        </w:rPr>
        <w:t>stavby - potřeby</w:t>
      </w:r>
      <w:proofErr w:type="gramEnd"/>
      <w:r w:rsidRPr="00873C18">
        <w:rPr>
          <w:b/>
        </w:rPr>
        <w:t xml:space="preserve"> a spotřeby médií a hmot,</w:t>
      </w:r>
      <w:r w:rsidR="00764EFA" w:rsidRPr="00873C18">
        <w:rPr>
          <w:b/>
        </w:rPr>
        <w:t xml:space="preserve"> </w:t>
      </w:r>
      <w:r w:rsidRPr="00873C18">
        <w:rPr>
          <w:b/>
        </w:rPr>
        <w:t>hospodaření s dešťovou vodou, celkové produkované množství a druhy odpadů a emisí apod.</w:t>
      </w:r>
    </w:p>
    <w:p w14:paraId="241CD447" w14:textId="77777777" w:rsidR="007C26FE" w:rsidRPr="00873C18" w:rsidRDefault="00BF198A">
      <w:pPr>
        <w:pStyle w:val="Zkladntext"/>
        <w:jc w:val="both"/>
        <w:rPr>
          <w:rFonts w:cs="Arial"/>
          <w:sz w:val="20"/>
          <w:szCs w:val="20"/>
        </w:rPr>
      </w:pPr>
      <w:r w:rsidRPr="00873C18">
        <w:rPr>
          <w:rFonts w:cs="Arial"/>
          <w:sz w:val="20"/>
          <w:szCs w:val="20"/>
        </w:rPr>
        <w:t>Základní bilance stavby – potřeby a spotřeby médií a hmot nejsou známy.</w:t>
      </w:r>
    </w:p>
    <w:p w14:paraId="0108757F" w14:textId="4B010452" w:rsidR="007C26FE" w:rsidRDefault="00BF198A">
      <w:pPr>
        <w:pStyle w:val="Zkladntext"/>
        <w:jc w:val="both"/>
        <w:rPr>
          <w:rFonts w:cs="Arial"/>
          <w:sz w:val="20"/>
          <w:szCs w:val="20"/>
        </w:rPr>
      </w:pPr>
      <w:r w:rsidRPr="00873C18">
        <w:rPr>
          <w:rFonts w:cs="Arial"/>
          <w:sz w:val="20"/>
          <w:szCs w:val="20"/>
        </w:rPr>
        <w:br/>
      </w:r>
      <w:r w:rsidR="00723A44" w:rsidRPr="00873C18">
        <w:rPr>
          <w:rFonts w:cs="Arial"/>
          <w:sz w:val="20"/>
          <w:szCs w:val="20"/>
        </w:rPr>
        <w:t>D</w:t>
      </w:r>
      <w:r w:rsidRPr="00873C18">
        <w:rPr>
          <w:rFonts w:cs="Arial"/>
          <w:sz w:val="20"/>
          <w:szCs w:val="20"/>
        </w:rPr>
        <w:t xml:space="preserve">ešťové vody jsou </w:t>
      </w:r>
      <w:r w:rsidR="00723A44" w:rsidRPr="00873C18">
        <w:rPr>
          <w:rFonts w:cs="Arial"/>
          <w:sz w:val="20"/>
          <w:szCs w:val="20"/>
        </w:rPr>
        <w:t xml:space="preserve">likvidovány </w:t>
      </w:r>
      <w:r w:rsidR="00623976" w:rsidRPr="00873C18">
        <w:rPr>
          <w:rFonts w:cs="Arial"/>
          <w:sz w:val="20"/>
          <w:szCs w:val="20"/>
        </w:rPr>
        <w:t>dešťovou kanalizací</w:t>
      </w:r>
      <w:r w:rsidR="00723A44" w:rsidRPr="00873C18">
        <w:rPr>
          <w:rFonts w:cs="Arial"/>
          <w:sz w:val="20"/>
          <w:szCs w:val="20"/>
        </w:rPr>
        <w:t xml:space="preserve">. </w:t>
      </w:r>
      <w:r w:rsidRPr="00873C18">
        <w:rPr>
          <w:rFonts w:cs="Arial"/>
          <w:sz w:val="20"/>
          <w:szCs w:val="20"/>
        </w:rPr>
        <w:t>Odpad</w:t>
      </w:r>
      <w:r w:rsidR="00723A44" w:rsidRPr="00873C18">
        <w:rPr>
          <w:rFonts w:cs="Arial"/>
          <w:sz w:val="20"/>
          <w:szCs w:val="20"/>
        </w:rPr>
        <w:t>y</w:t>
      </w:r>
      <w:r w:rsidRPr="00873C18">
        <w:rPr>
          <w:rFonts w:cs="Arial"/>
          <w:sz w:val="20"/>
          <w:szCs w:val="20"/>
        </w:rPr>
        <w:t xml:space="preserve"> jsou likvidovány v souladu s odpadovým hospodářstvím areálu. Emise vznikající odvodem odpadního vzduchu z vnitřního provozu jsou odváděny do ovzduší a nepřekračují normové limity.</w:t>
      </w:r>
    </w:p>
    <w:p w14:paraId="19478076" w14:textId="77777777" w:rsidR="00066C89" w:rsidRPr="00066C89" w:rsidRDefault="00066C89" w:rsidP="00066C89">
      <w:pPr>
        <w:pStyle w:val="Seznam"/>
        <w:rPr>
          <w:lang w:eastAsia="en-US"/>
        </w:rPr>
      </w:pPr>
    </w:p>
    <w:p w14:paraId="3C904A7A" w14:textId="1BB449EC" w:rsidR="007C26FE" w:rsidRDefault="00066C89" w:rsidP="00066C89">
      <w:pPr>
        <w:pStyle w:val="Seznam"/>
        <w:numPr>
          <w:ilvl w:val="3"/>
          <w:numId w:val="3"/>
        </w:numPr>
        <w:rPr>
          <w:rFonts w:asciiTheme="minorHAnsi" w:hAnsiTheme="minorHAnsi" w:cstheme="minorHAnsi"/>
          <w:b/>
          <w:bCs/>
          <w:sz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lang w:eastAsia="en-US"/>
        </w:rPr>
        <w:t>Posouzení změn oproti zkolaudovanému stavu.</w:t>
      </w:r>
    </w:p>
    <w:p w14:paraId="51995923" w14:textId="6DFE4AB9" w:rsidR="00066C89" w:rsidRDefault="00066C89" w:rsidP="00066C89">
      <w:pPr>
        <w:pStyle w:val="Nadpis5"/>
        <w:numPr>
          <w:ilvl w:val="0"/>
          <w:numId w:val="0"/>
        </w:numPr>
        <w:ind w:left="397"/>
      </w:pPr>
      <w:r>
        <w:tab/>
        <w:t xml:space="preserve">Dodatečné změny užívání stavby bytového domu spočívaly ve změně účelu místností nebytových prostor v 1. NP, které </w:t>
      </w:r>
      <w:proofErr w:type="gramStart"/>
      <w:r>
        <w:t>slouží</w:t>
      </w:r>
      <w:proofErr w:type="gramEnd"/>
      <w:r>
        <w:t xml:space="preserve"> jako zázemí pečovatelek a nově i městské policie Liberec – obvod Rochlice, a dále spočívaly ve změně účelu technické místnosti v 2. PP a ověření některých konstrukcí v 1. NP. </w:t>
      </w:r>
    </w:p>
    <w:p w14:paraId="02FD810A" w14:textId="77777777" w:rsidR="00066C89" w:rsidRDefault="00066C89" w:rsidP="00066C89"/>
    <w:p w14:paraId="524C10A2" w14:textId="77777777" w:rsidR="00066C89" w:rsidRPr="008553A2" w:rsidRDefault="00066C89" w:rsidP="00066C89">
      <w:pPr>
        <w:pStyle w:val="Odstavecseseznamem"/>
        <w:numPr>
          <w:ilvl w:val="0"/>
          <w:numId w:val="9"/>
        </w:numPr>
        <w:rPr>
          <w:u w:val="single"/>
        </w:rPr>
      </w:pPr>
      <w:r w:rsidRPr="008553A2">
        <w:rPr>
          <w:u w:val="single"/>
        </w:rPr>
        <w:t>2. PP</w:t>
      </w:r>
    </w:p>
    <w:p w14:paraId="4B26F2F1" w14:textId="77777777" w:rsidR="00066C89" w:rsidRDefault="00066C89" w:rsidP="00066C89">
      <w:r>
        <w:t xml:space="preserve">Vlevo od výtahů se nachází místnost -206, který byla kolaudovaná jako strojovna výtahu. Původně se v budově nacházely dvě strojovny výtahu, ale během rekonstrukce výtahového zařízení </w:t>
      </w:r>
      <w:proofErr w:type="gramStart"/>
      <w:r>
        <w:t>se</w:t>
      </w:r>
      <w:proofErr w:type="gramEnd"/>
      <w:r>
        <w:t xml:space="preserve"> strojovny sjednotily v místnosti číslo -205. Aktuálně místnost -206 slouží jako sklad. </w:t>
      </w:r>
    </w:p>
    <w:p w14:paraId="3042DB19" w14:textId="77777777" w:rsidR="00066C89" w:rsidRDefault="00066C89" w:rsidP="00066C89">
      <w:r>
        <w:tab/>
        <w:t>V částech chodeb -201 a–208 byl vytvořen snížený pohled a v místnosti -210 vedení VZT s výstupek z objektu před okenní otvor. Okno tím bylo zmenšeno přibližně o polovinu rozměru.</w:t>
      </w:r>
    </w:p>
    <w:p w14:paraId="0FDC15DE" w14:textId="77777777" w:rsidR="00066C89" w:rsidRDefault="00066C89" w:rsidP="00066C89"/>
    <w:p w14:paraId="093F9994" w14:textId="77777777" w:rsidR="00066C89" w:rsidRDefault="00066C89" w:rsidP="00066C89">
      <w:pPr>
        <w:pStyle w:val="Odstavecseseznamem"/>
        <w:numPr>
          <w:ilvl w:val="0"/>
          <w:numId w:val="9"/>
        </w:numPr>
      </w:pPr>
      <w:r w:rsidRPr="008553A2">
        <w:rPr>
          <w:u w:val="single"/>
        </w:rPr>
        <w:t>1.NP</w:t>
      </w:r>
      <w:r>
        <w:t xml:space="preserve"> </w:t>
      </w:r>
    </w:p>
    <w:p w14:paraId="67F37185" w14:textId="77777777" w:rsidR="00066C89" w:rsidRDefault="00066C89" w:rsidP="00066C89">
      <w:r>
        <w:t xml:space="preserve">Největší změny účelu probíhali v jižním křídle budovy v nebytových prostorech. Zázemí pro pečovatelskou službu bylo konsolidováno a uvolněné prostory nově </w:t>
      </w:r>
      <w:proofErr w:type="gramStart"/>
      <w:r>
        <w:t>slouží</w:t>
      </w:r>
      <w:proofErr w:type="gramEnd"/>
      <w:r>
        <w:t xml:space="preserve"> jako zázemí služebny městské policie. </w:t>
      </w:r>
    </w:p>
    <w:p w14:paraId="0156E259" w14:textId="77777777" w:rsidR="00066C89" w:rsidRDefault="00066C89" w:rsidP="00066C89"/>
    <w:p w14:paraId="7D361A70" w14:textId="77777777" w:rsidR="00066C89" w:rsidRDefault="00066C89" w:rsidP="00066C89">
      <w:r>
        <w:t xml:space="preserve">Změna je v místnosti číslo 109, kde se dříve nacházel prostor přípravy jídel. Příprava jídel byla zrušena a vybavení kuchyně bylo odstraněno. Místnost 109 nově </w:t>
      </w:r>
      <w:proofErr w:type="gramStart"/>
      <w:r>
        <w:t>slouží</w:t>
      </w:r>
      <w:proofErr w:type="gramEnd"/>
      <w:r>
        <w:t xml:space="preserve"> jako hygienické a rehabilitační středisko. V místech původního dřezu bylo zřízeno bezbariérové WC s </w:t>
      </w:r>
      <w:proofErr w:type="spellStart"/>
      <w:r>
        <w:t>geberitem</w:t>
      </w:r>
      <w:proofErr w:type="spellEnd"/>
      <w:r>
        <w:t xml:space="preserve">, v místech, kde stál sporák se nyní nachází dlouhé umyvadlo. V prostoru mezi oknem a umyvadlem je umístěna rehabilitační vana. Stěny kolem nových zařizovacích předmětů byly opatřeny keramickým obkladem. Plocha místnosti se nezměnila. </w:t>
      </w:r>
    </w:p>
    <w:p w14:paraId="1FA13E0A" w14:textId="77777777" w:rsidR="00066C89" w:rsidRDefault="00066C89" w:rsidP="00066C89"/>
    <w:p w14:paraId="07D5D4B0" w14:textId="77777777" w:rsidR="00066C89" w:rsidRDefault="00066C89" w:rsidP="00066C89">
      <w:r>
        <w:t xml:space="preserve">Místnosti 106 – chodba, 110 – denní místnost pečovatelek, 111- předsíň, 112 – sprcha a 113 – WC zůstaly beze změny. </w:t>
      </w:r>
    </w:p>
    <w:p w14:paraId="314D0941" w14:textId="77777777" w:rsidR="00066C89" w:rsidRDefault="00066C89" w:rsidP="00066C89"/>
    <w:p w14:paraId="7368C79F" w14:textId="77777777" w:rsidR="00066C89" w:rsidRDefault="00066C89" w:rsidP="00066C89">
      <w:r>
        <w:t xml:space="preserve">Změny proběhly i v místnosti 115, která byla využívána jako lázeň – pedikúra. Nyní místnost 115 </w:t>
      </w:r>
      <w:proofErr w:type="gramStart"/>
      <w:r>
        <w:t>slouží</w:t>
      </w:r>
      <w:proofErr w:type="gramEnd"/>
      <w:r>
        <w:t xml:space="preserve"> jako služebna městské policie Liberec – obvod Rochlice.  Byla odstraněna vana a nahrazena dřezem.  Umyvadlo na protější stěně bylo odstraněno bez náhrady. Prostor sprchy byl přebudován na šatní skříň s posuvnými dveřmi. Plocha místnosti se nezměnila.</w:t>
      </w:r>
    </w:p>
    <w:p w14:paraId="15BF03C5" w14:textId="77777777" w:rsidR="00066C89" w:rsidRDefault="00066C89" w:rsidP="00066C89">
      <w:r>
        <w:t xml:space="preserve">Místnost 116 dříve sloužila jako </w:t>
      </w:r>
      <w:proofErr w:type="spellStart"/>
      <w:r>
        <w:t>wc</w:t>
      </w:r>
      <w:proofErr w:type="spellEnd"/>
      <w:r>
        <w:t xml:space="preserve"> s asistencí a byly v ní umístěna jedna toaletní mísa. Nově přibyla rohová sprcha a umyvadlo a místnost </w:t>
      </w:r>
      <w:proofErr w:type="gramStart"/>
      <w:r>
        <w:t>slouží</w:t>
      </w:r>
      <w:proofErr w:type="gramEnd"/>
      <w:r>
        <w:t xml:space="preserve"> jako koupelna pro městskou policii Liberec. Plocha místnosti se nezměnila. </w:t>
      </w:r>
    </w:p>
    <w:p w14:paraId="5C004A59" w14:textId="77777777" w:rsidR="00066C89" w:rsidRDefault="00066C89" w:rsidP="00066C89">
      <w:r>
        <w:t>Místnost 114 zůstala zařízením beze změny. Původně sloužila jako prostor pro nákupy (sklad a výdej potravin), nyní je využívána jako sklad vybavení pro městskou policii Liberec. Plocha místnosti se nezměnila.</w:t>
      </w:r>
    </w:p>
    <w:p w14:paraId="12311180" w14:textId="77777777" w:rsidR="00066C89" w:rsidRDefault="00066C89" w:rsidP="00066C89"/>
    <w:p w14:paraId="08531FEA" w14:textId="67D660F8" w:rsidR="00066C89" w:rsidRDefault="00066C89" w:rsidP="00066C89">
      <w:r>
        <w:t>Stavební změny jsou i v zádveří budovy. Příčka mezi místnostmi 107 a 108 byla odstraněna a ve výkrese je sjednocena místnost pod číslem 107. Zároveň vedlejší vchodové dveře v pravé části zádveří z pohledu exteriéru byly vybourány a nahrazeny oknem o velikosti 900x1465mm a výškou parapetu 835 mm. Sjednocením obou zádveří (zrušením příčky) se mírně zvětšila užitná plocha.</w:t>
      </w:r>
    </w:p>
    <w:p w14:paraId="52C4C708" w14:textId="77777777" w:rsidR="00066C89" w:rsidRDefault="00066C89" w:rsidP="00066C89"/>
    <w:p w14:paraId="77FC06CE" w14:textId="77777777" w:rsidR="00066C89" w:rsidRPr="00066C89" w:rsidRDefault="00066C89" w:rsidP="00066C89">
      <w:pPr>
        <w:ind w:left="0" w:firstLine="0"/>
        <w:rPr>
          <w:szCs w:val="20"/>
          <w:u w:val="single"/>
        </w:rPr>
      </w:pPr>
      <w:r w:rsidRPr="00066C89">
        <w:rPr>
          <w:szCs w:val="20"/>
          <w:u w:val="single"/>
        </w:rPr>
        <w:t>Posouzení hygienických požadavků:</w:t>
      </w:r>
    </w:p>
    <w:p w14:paraId="1A9E12E3" w14:textId="77777777" w:rsidR="00066C89" w:rsidRDefault="00066C89" w:rsidP="00066C89">
      <w:r>
        <w:t>Pečovatelská služby byla konsolidována. V denní službě je nově o dvě pečovatelky méně. Denní místnost pečovatelek je i nadále vyhovující.</w:t>
      </w:r>
    </w:p>
    <w:p w14:paraId="3D47404B" w14:textId="621469F3" w:rsidR="00066C89" w:rsidRDefault="00066C89" w:rsidP="00066C89">
      <w:r>
        <w:t xml:space="preserve">Nově vzniklý oddělený provoz služebny městské policie </w:t>
      </w:r>
      <w:proofErr w:type="gramStart"/>
      <w:r>
        <w:t>slouží</w:t>
      </w:r>
      <w:proofErr w:type="gramEnd"/>
      <w:r>
        <w:t xml:space="preserve"> pro dva strážníky, kteří se střídají v denních směnách. Služebna obsahuje vlastní sociální zázemí – koupelnu s WC a sprchou. K dispozici je prostorný šatní kout oddělený posuvnými dveřmi. Ve služebně je umyvadlo. </w:t>
      </w:r>
    </w:p>
    <w:p w14:paraId="717A4F11" w14:textId="77777777" w:rsidR="00066C89" w:rsidRDefault="00066C89" w:rsidP="00066C89">
      <w:r>
        <w:t xml:space="preserve">Prostory jsou větrány přirozeně okny a vytápěny radiátory s termostatickými hlavicemi s možností regulace. Prostory mají provedeno umělé osvětlení splňující normové hodnoty. </w:t>
      </w:r>
    </w:p>
    <w:p w14:paraId="7C382680" w14:textId="77777777" w:rsidR="00066C89" w:rsidRDefault="00066C89" w:rsidP="00066C89">
      <w:r>
        <w:t>Změna je v souladu s hygienickými požadavky na stavby a požadavky hygieny práce.</w:t>
      </w:r>
    </w:p>
    <w:p w14:paraId="1129E8ED" w14:textId="77777777" w:rsidR="00066C89" w:rsidRDefault="00066C89" w:rsidP="00066C89"/>
    <w:p w14:paraId="0FD97948" w14:textId="77777777" w:rsidR="00066C89" w:rsidRPr="00066C89" w:rsidRDefault="00066C89" w:rsidP="00066C89">
      <w:pPr>
        <w:ind w:left="0" w:firstLine="0"/>
        <w:rPr>
          <w:szCs w:val="20"/>
          <w:u w:val="single"/>
        </w:rPr>
      </w:pPr>
      <w:r w:rsidRPr="00066C89">
        <w:rPr>
          <w:szCs w:val="20"/>
          <w:u w:val="single"/>
        </w:rPr>
        <w:t>Posouzení požárně-bezpečnostních požadavků:</w:t>
      </w:r>
    </w:p>
    <w:p w14:paraId="250E86F1" w14:textId="77777777" w:rsidR="00066C89" w:rsidRDefault="00066C89" w:rsidP="00066C89">
      <w:r>
        <w:t xml:space="preserve">Dílčí změna nebytových prostor neovlivňuje požárně bezpečnostní řešení. Nedochází k navýšení počtu osob v objektu. Nedochází k dispoziční změně – únikové cesty jsou zachovány v souladu s původním řešením. Stavba byla zkolaudována po roce 1999, stavba splňuje tehdejší platné požadavky. </w:t>
      </w:r>
    </w:p>
    <w:p w14:paraId="395B7F7A" w14:textId="77777777" w:rsidR="00066C89" w:rsidRPr="00DD1CF1" w:rsidRDefault="00066C89" w:rsidP="00066C89">
      <w:r>
        <w:t>Dílčí změna užívání spadá do kategorie staveb skupin „0“, není třeba zpracovávat PBŘ, není třeba žádat o stanovisko HZS.</w:t>
      </w:r>
    </w:p>
    <w:p w14:paraId="734EFB93" w14:textId="77777777" w:rsidR="00066C89" w:rsidRPr="00066C89" w:rsidRDefault="00066C89" w:rsidP="00066C89">
      <w:pPr>
        <w:pStyle w:val="Seznam"/>
        <w:rPr>
          <w:rFonts w:asciiTheme="minorHAnsi" w:hAnsiTheme="minorHAnsi" w:cstheme="minorHAnsi"/>
          <w:b/>
          <w:bCs/>
          <w:sz w:val="20"/>
          <w:lang w:eastAsia="en-US"/>
        </w:rPr>
      </w:pPr>
    </w:p>
    <w:p w14:paraId="0685ECC9" w14:textId="22F169F3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Technický popis stavby a jejího technického zařízení</w:t>
      </w:r>
    </w:p>
    <w:p w14:paraId="60D2379D" w14:textId="21293F5B" w:rsidR="00BF5D15" w:rsidRPr="00873C18" w:rsidRDefault="00BF198A" w:rsidP="00BF5D15">
      <w:pPr>
        <w:pStyle w:val="Nzev"/>
        <w:jc w:val="both"/>
      </w:pPr>
      <w:r w:rsidRPr="00873C18">
        <w:t>Stavebně konstrukční popi</w:t>
      </w:r>
      <w:r w:rsidR="00BF5D15" w:rsidRPr="00873C18">
        <w:t>s</w:t>
      </w:r>
    </w:p>
    <w:p w14:paraId="4C871F2B" w14:textId="36E8BAFE" w:rsidR="00764EFA" w:rsidRPr="00873C18" w:rsidRDefault="00764EFA" w:rsidP="00764EFA">
      <w:pPr>
        <w:jc w:val="both"/>
        <w:rPr>
          <w:rFonts w:ascii="Calibri" w:hAnsi="Calibri" w:cs="Calibri"/>
          <w:szCs w:val="20"/>
        </w:rPr>
      </w:pPr>
      <w:r w:rsidRPr="00873C18">
        <w:rPr>
          <w:rFonts w:ascii="Calibri" w:hAnsi="Calibri" w:cs="Calibri"/>
          <w:szCs w:val="20"/>
        </w:rPr>
        <w:t>Objekt je situován na svažitém pozemku východní části čtvrti Rochlice v jihovýchodní části města Liberec. Horní část pozemku navazuje na komunikaci, ze které je pozemek přístupný. Spodní část pozemku svažuje směrem k ulici Vratislavická, se kterou je objekt propojen komunikací pro pěší.</w:t>
      </w:r>
      <w:r w:rsidR="00B87373" w:rsidRPr="00873C18">
        <w:rPr>
          <w:rFonts w:ascii="Calibri" w:hAnsi="Calibri" w:cs="Calibri"/>
          <w:szCs w:val="20"/>
        </w:rPr>
        <w:t xml:space="preserve"> Objekt byl postaven kolem roku 1999.</w:t>
      </w:r>
    </w:p>
    <w:p w14:paraId="7BAC6FF4" w14:textId="3C978022" w:rsidR="00BF5D15" w:rsidRPr="00873C18" w:rsidRDefault="00BF5D15" w:rsidP="00BF5D15">
      <w:pPr>
        <w:tabs>
          <w:tab w:val="left" w:pos="567"/>
          <w:tab w:val="left" w:pos="964"/>
        </w:tabs>
        <w:rPr>
          <w:rFonts w:ascii="Calibri" w:hAnsi="Calibri" w:cs="Calibri"/>
          <w:noProof/>
          <w:szCs w:val="20"/>
        </w:rPr>
      </w:pPr>
      <w:r w:rsidRPr="00873C18">
        <w:rPr>
          <w:rFonts w:ascii="Calibri" w:hAnsi="Calibri" w:cs="Calibri"/>
          <w:szCs w:val="20"/>
        </w:rPr>
        <w:t xml:space="preserve"> </w:t>
      </w:r>
      <w:r w:rsidR="00764EFA" w:rsidRPr="00873C18">
        <w:rPr>
          <w:rFonts w:ascii="Calibri" w:eastAsia="SimSun" w:hAnsi="Calibri" w:cs="Calibri"/>
          <w:noProof/>
          <w:szCs w:val="20"/>
        </w:rPr>
        <w:t>V objektu se nachází šest nadzemních podlaží a dvě podzemní, členěného</w:t>
      </w:r>
      <w:r w:rsidRPr="00873C18">
        <w:rPr>
          <w:rFonts w:ascii="Calibri" w:eastAsia="SimSun" w:hAnsi="Calibri" w:cs="Calibri"/>
          <w:noProof/>
          <w:szCs w:val="20"/>
        </w:rPr>
        <w:t xml:space="preserve"> půdorysu o rozměrech </w:t>
      </w:r>
      <w:r w:rsidR="00764EFA" w:rsidRPr="00873C18">
        <w:rPr>
          <w:rFonts w:ascii="Calibri" w:eastAsia="SimSun" w:hAnsi="Calibri" w:cs="Calibri"/>
          <w:noProof/>
          <w:szCs w:val="20"/>
        </w:rPr>
        <w:t>31,55x23,15</w:t>
      </w:r>
      <w:r w:rsidRPr="00873C18">
        <w:rPr>
          <w:rFonts w:ascii="Calibri" w:eastAsia="SimSun" w:hAnsi="Calibri" w:cs="Calibri"/>
          <w:noProof/>
          <w:szCs w:val="20"/>
        </w:rPr>
        <w:t xml:space="preserve"> m</w:t>
      </w:r>
      <w:r w:rsidR="00764EFA" w:rsidRPr="00873C18">
        <w:rPr>
          <w:rFonts w:ascii="Calibri" w:eastAsia="SimSun" w:hAnsi="Calibri" w:cs="Calibri"/>
          <w:noProof/>
          <w:szCs w:val="20"/>
        </w:rPr>
        <w:t xml:space="preserve">. </w:t>
      </w:r>
      <w:r w:rsidRPr="00873C18">
        <w:rPr>
          <w:rFonts w:ascii="Calibri" w:eastAsia="Arial" w:hAnsi="Calibri" w:cs="Calibri"/>
          <w:szCs w:val="20"/>
        </w:rPr>
        <w:t>Dům je zastřešen sedlovou střechou se sklon</w:t>
      </w:r>
      <w:r w:rsidR="00764EFA" w:rsidRPr="00873C18">
        <w:rPr>
          <w:rFonts w:ascii="Calibri" w:eastAsia="Arial" w:hAnsi="Calibri" w:cs="Calibri"/>
          <w:szCs w:val="20"/>
        </w:rPr>
        <w:t>y</w:t>
      </w:r>
      <w:r w:rsidRPr="00873C18">
        <w:rPr>
          <w:rFonts w:ascii="Calibri" w:eastAsia="Arial" w:hAnsi="Calibri" w:cs="Calibri"/>
          <w:szCs w:val="20"/>
        </w:rPr>
        <w:t xml:space="preserve"> </w:t>
      </w:r>
      <w:r w:rsidR="00764EFA" w:rsidRPr="00873C18">
        <w:rPr>
          <w:rFonts w:ascii="Calibri" w:eastAsia="Arial" w:hAnsi="Calibri" w:cs="Calibri"/>
          <w:szCs w:val="20"/>
        </w:rPr>
        <w:t>33</w:t>
      </w:r>
      <w:r w:rsidRPr="00873C18">
        <w:rPr>
          <w:rFonts w:ascii="Calibri" w:eastAsia="Arial" w:hAnsi="Calibri" w:cs="Calibri"/>
          <w:szCs w:val="20"/>
        </w:rPr>
        <w:t>°</w:t>
      </w:r>
      <w:r w:rsidR="00764EFA" w:rsidRPr="00873C18">
        <w:rPr>
          <w:rFonts w:ascii="Calibri" w:eastAsia="Arial" w:hAnsi="Calibri" w:cs="Calibri"/>
          <w:szCs w:val="20"/>
        </w:rPr>
        <w:t xml:space="preserve"> a 35°.</w:t>
      </w:r>
    </w:p>
    <w:p w14:paraId="62BF23B5" w14:textId="46C99445" w:rsidR="00837271" w:rsidRPr="00873C18" w:rsidRDefault="00BF5D15" w:rsidP="00837271">
      <w:pPr>
        <w:pStyle w:val="Raztko"/>
        <w:snapToGrid w:val="0"/>
        <w:spacing w:line="276" w:lineRule="auto"/>
        <w:ind w:firstLine="284"/>
        <w:jc w:val="left"/>
        <w:rPr>
          <w:rFonts w:ascii="Calibri" w:hAnsi="Calibri" w:cs="Calibri"/>
          <w:sz w:val="20"/>
        </w:rPr>
      </w:pPr>
      <w:r w:rsidRPr="00873C18">
        <w:rPr>
          <w:rFonts w:ascii="Calibri" w:hAnsi="Calibri" w:cs="Calibri"/>
          <w:noProof/>
          <w:sz w:val="20"/>
        </w:rPr>
        <w:t xml:space="preserve">Stavba je založena na základových pasech s prostého betonu, proloženým kamenem. Obvodové zdivo je vyzděno </w:t>
      </w:r>
      <w:r w:rsidR="00837271" w:rsidRPr="00873C18">
        <w:rPr>
          <w:rFonts w:ascii="Calibri" w:hAnsi="Calibri" w:cs="Calibri"/>
          <w:noProof/>
          <w:sz w:val="20"/>
        </w:rPr>
        <w:t>tvárnic LIAPOR o tloušťce 150</w:t>
      </w:r>
      <w:r w:rsidRPr="00873C18">
        <w:rPr>
          <w:rFonts w:ascii="Calibri" w:hAnsi="Calibri" w:cs="Calibri"/>
          <w:noProof/>
          <w:sz w:val="20"/>
        </w:rPr>
        <w:t>mm</w:t>
      </w:r>
      <w:r w:rsidR="00837271" w:rsidRPr="00873C18">
        <w:rPr>
          <w:rFonts w:ascii="Calibri" w:hAnsi="Calibri" w:cs="Calibri"/>
          <w:noProof/>
          <w:sz w:val="20"/>
        </w:rPr>
        <w:t xml:space="preserve"> s přiznívkou na vnější straně z Pk CD</w:t>
      </w:r>
      <w:r w:rsidRPr="00873C18">
        <w:rPr>
          <w:rFonts w:ascii="Calibri" w:hAnsi="Calibri" w:cs="Calibri"/>
          <w:noProof/>
          <w:sz w:val="20"/>
        </w:rPr>
        <w:t>. Strop</w:t>
      </w:r>
      <w:r w:rsidR="00837271" w:rsidRPr="00873C18">
        <w:rPr>
          <w:rFonts w:ascii="Calibri" w:hAnsi="Calibri" w:cs="Calibri"/>
          <w:noProof/>
          <w:sz w:val="20"/>
        </w:rPr>
        <w:t>y</w:t>
      </w:r>
      <w:r w:rsidRPr="00873C18">
        <w:rPr>
          <w:rFonts w:ascii="Calibri" w:hAnsi="Calibri" w:cs="Calibri"/>
          <w:noProof/>
          <w:sz w:val="20"/>
        </w:rPr>
        <w:t xml:space="preserve"> objektu </w:t>
      </w:r>
      <w:r w:rsidR="00837271" w:rsidRPr="00873C18">
        <w:rPr>
          <w:rFonts w:ascii="Calibri" w:hAnsi="Calibri" w:cs="Calibri"/>
          <w:noProof/>
          <w:sz w:val="20"/>
        </w:rPr>
        <w:t>jsou filigránové.</w:t>
      </w:r>
      <w:r w:rsidRPr="00873C18">
        <w:rPr>
          <w:rFonts w:ascii="Calibri" w:hAnsi="Calibri" w:cs="Calibri"/>
          <w:noProof/>
          <w:sz w:val="20"/>
        </w:rPr>
        <w:t xml:space="preserve">. Střecha je sedlová se sklonem střešních rovin </w:t>
      </w:r>
      <w:r w:rsidR="00837271" w:rsidRPr="00873C18">
        <w:rPr>
          <w:rFonts w:ascii="Calibri" w:hAnsi="Calibri" w:cs="Calibri"/>
          <w:noProof/>
          <w:sz w:val="20"/>
        </w:rPr>
        <w:t>33° a 35</w:t>
      </w:r>
      <w:r w:rsidRPr="00873C18">
        <w:rPr>
          <w:rFonts w:ascii="Calibri" w:hAnsi="Calibri" w:cs="Calibri"/>
          <w:noProof/>
          <w:sz w:val="20"/>
        </w:rPr>
        <w:t xml:space="preserve">°. </w:t>
      </w:r>
      <w:r w:rsidR="00837271" w:rsidRPr="00873C18">
        <w:rPr>
          <w:rFonts w:ascii="Calibri" w:hAnsi="Calibri" w:cs="Calibri"/>
          <w:sz w:val="20"/>
        </w:rPr>
        <w:t xml:space="preserve">Omítky zděných konstrukcí jsou dvouvrstvé hladké (jádro + štuk) z MVC, vnitřní </w:t>
      </w:r>
      <w:proofErr w:type="spellStart"/>
      <w:r w:rsidR="00837271" w:rsidRPr="00873C18">
        <w:rPr>
          <w:rFonts w:ascii="Calibri" w:hAnsi="Calibri" w:cs="Calibri"/>
          <w:sz w:val="20"/>
        </w:rPr>
        <w:t>tl</w:t>
      </w:r>
      <w:proofErr w:type="spellEnd"/>
      <w:r w:rsidR="00837271" w:rsidRPr="00873C18">
        <w:rPr>
          <w:rFonts w:ascii="Calibri" w:hAnsi="Calibri" w:cs="Calibri"/>
          <w:sz w:val="20"/>
        </w:rPr>
        <w:t xml:space="preserve">. 15 mm. Na </w:t>
      </w:r>
      <w:proofErr w:type="spellStart"/>
      <w:r w:rsidR="00837271" w:rsidRPr="00873C18">
        <w:rPr>
          <w:rFonts w:ascii="Calibri" w:hAnsi="Calibri" w:cs="Calibri"/>
          <w:sz w:val="20"/>
        </w:rPr>
        <w:t>lignoporu</w:t>
      </w:r>
      <w:proofErr w:type="spellEnd"/>
      <w:r w:rsidR="00837271" w:rsidRPr="00873C18">
        <w:rPr>
          <w:rFonts w:ascii="Calibri" w:hAnsi="Calibri" w:cs="Calibri"/>
          <w:sz w:val="20"/>
        </w:rPr>
        <w:t xml:space="preserve"> jsou vyztuženy </w:t>
      </w:r>
      <w:proofErr w:type="spellStart"/>
      <w:r w:rsidR="00837271" w:rsidRPr="00873C18">
        <w:rPr>
          <w:rFonts w:ascii="Calibri" w:hAnsi="Calibri" w:cs="Calibri"/>
          <w:sz w:val="20"/>
        </w:rPr>
        <w:t>rabitzovým</w:t>
      </w:r>
      <w:proofErr w:type="spellEnd"/>
      <w:r w:rsidR="00837271" w:rsidRPr="00873C18">
        <w:rPr>
          <w:rFonts w:ascii="Calibri" w:hAnsi="Calibri" w:cs="Calibri"/>
          <w:sz w:val="20"/>
        </w:rPr>
        <w:t xml:space="preserve"> pletivem. Vnitřní plochy tvořené panely, filigrány a přesnými tvárnicemi </w:t>
      </w:r>
      <w:proofErr w:type="spellStart"/>
      <w:r w:rsidR="00837271" w:rsidRPr="00873C18">
        <w:rPr>
          <w:rFonts w:ascii="Calibri" w:hAnsi="Calibri" w:cs="Calibri"/>
          <w:sz w:val="20"/>
        </w:rPr>
        <w:t>stěrkovány</w:t>
      </w:r>
      <w:proofErr w:type="spellEnd"/>
      <w:r w:rsidR="00837271" w:rsidRPr="00873C18">
        <w:rPr>
          <w:rFonts w:ascii="Calibri" w:hAnsi="Calibri" w:cs="Calibri"/>
          <w:sz w:val="20"/>
        </w:rPr>
        <w:t xml:space="preserve"> štukem s disperzí. Boční plochy schodišťových ramen jsou opatřeny cementovým štukem s disperzí.</w:t>
      </w:r>
      <w:r w:rsidR="00837271" w:rsidRPr="00873C18">
        <w:rPr>
          <w:rFonts w:ascii="Calibri" w:hAnsi="Calibri" w:cs="Calibri"/>
          <w:noProof/>
          <w:sz w:val="20"/>
        </w:rPr>
        <w:t xml:space="preserve"> </w:t>
      </w:r>
      <w:r w:rsidR="00837271" w:rsidRPr="00873C18">
        <w:rPr>
          <w:rFonts w:ascii="Calibri" w:hAnsi="Calibri" w:cs="Calibri"/>
          <w:sz w:val="20"/>
        </w:rPr>
        <w:t xml:space="preserve">Okna, balkonové a vchodové dveře jsou plastové se zasklením izolačním dvojsklem. Skla ve spodní části dveří v bytech vozíčkářů a ve všech společných prostorách jsou bezpečností tvrzená. Ovládací kování oken v těchto prostorách jsou umístěna v jejich dolní části 900 až 1100 mm nad podlahou. Dělicí balkónové stěny jsou zaskleny žlutým </w:t>
      </w:r>
      <w:proofErr w:type="spellStart"/>
      <w:r w:rsidR="00837271" w:rsidRPr="00873C18">
        <w:rPr>
          <w:rFonts w:ascii="Calibri" w:hAnsi="Calibri" w:cs="Calibri"/>
          <w:sz w:val="20"/>
        </w:rPr>
        <w:t>drátosklem</w:t>
      </w:r>
      <w:proofErr w:type="spellEnd"/>
      <w:r w:rsidR="00837271" w:rsidRPr="00873C18">
        <w:rPr>
          <w:rFonts w:ascii="Calibri" w:hAnsi="Calibri" w:cs="Calibri"/>
          <w:sz w:val="20"/>
        </w:rPr>
        <w:t>.</w:t>
      </w:r>
    </w:p>
    <w:p w14:paraId="59C9BE3B" w14:textId="77777777" w:rsidR="00837271" w:rsidRPr="00873C18" w:rsidRDefault="00837271" w:rsidP="00837271">
      <w:pPr>
        <w:pStyle w:val="Raztko"/>
        <w:snapToGrid w:val="0"/>
        <w:spacing w:line="276" w:lineRule="auto"/>
        <w:jc w:val="left"/>
        <w:rPr>
          <w:rFonts w:ascii="Calibri" w:hAnsi="Calibri" w:cs="Calibri"/>
          <w:sz w:val="20"/>
        </w:rPr>
      </w:pPr>
      <w:r w:rsidRPr="00873C18">
        <w:rPr>
          <w:rFonts w:ascii="Calibri" w:hAnsi="Calibri" w:cs="Calibri"/>
          <w:sz w:val="20"/>
        </w:rPr>
        <w:t>Vnitřní dveře jsou typové plné nebo ze 2/3 zasklené. Požární dveře jsou typové plné.</w:t>
      </w:r>
    </w:p>
    <w:p w14:paraId="17DB74D2" w14:textId="52378CEF" w:rsidR="005A3FD8" w:rsidRDefault="00837271" w:rsidP="00837271">
      <w:pPr>
        <w:tabs>
          <w:tab w:val="left" w:pos="567"/>
          <w:tab w:val="left" w:pos="964"/>
        </w:tabs>
        <w:ind w:left="0" w:firstLine="0"/>
        <w:rPr>
          <w:rFonts w:ascii="Calibri" w:hAnsi="Calibri" w:cs="Calibri"/>
          <w:noProof/>
          <w:szCs w:val="20"/>
        </w:rPr>
      </w:pPr>
      <w:r w:rsidRPr="00873C18">
        <w:rPr>
          <w:rFonts w:ascii="Calibri" w:hAnsi="Calibri" w:cs="Calibri"/>
          <w:szCs w:val="20"/>
        </w:rPr>
        <w:tab/>
      </w:r>
      <w:r w:rsidR="005A3FD8" w:rsidRPr="00873C18">
        <w:rPr>
          <w:rFonts w:ascii="Calibri" w:hAnsi="Calibri" w:cs="Calibri"/>
          <w:noProof/>
          <w:szCs w:val="20"/>
        </w:rPr>
        <w:t xml:space="preserve">V objektu je pouze umístěna </w:t>
      </w:r>
      <w:r w:rsidRPr="00873C18">
        <w:rPr>
          <w:rFonts w:ascii="Calibri" w:hAnsi="Calibri" w:cs="Calibri"/>
          <w:noProof/>
          <w:szCs w:val="20"/>
        </w:rPr>
        <w:t>předávací</w:t>
      </w:r>
      <w:r w:rsidR="005A3FD8" w:rsidRPr="00873C18">
        <w:rPr>
          <w:rFonts w:ascii="Calibri" w:hAnsi="Calibri" w:cs="Calibri"/>
          <w:noProof/>
          <w:szCs w:val="20"/>
        </w:rPr>
        <w:t xml:space="preserve"> stanice</w:t>
      </w:r>
      <w:r w:rsidRPr="00873C18">
        <w:rPr>
          <w:rFonts w:ascii="Calibri" w:hAnsi="Calibri" w:cs="Calibri"/>
          <w:noProof/>
          <w:szCs w:val="20"/>
        </w:rPr>
        <w:t>.</w:t>
      </w:r>
    </w:p>
    <w:p w14:paraId="6A1F66D7" w14:textId="77777777" w:rsidR="00043A0D" w:rsidRDefault="00043A0D" w:rsidP="00837271">
      <w:pPr>
        <w:tabs>
          <w:tab w:val="left" w:pos="567"/>
          <w:tab w:val="left" w:pos="964"/>
        </w:tabs>
        <w:ind w:left="0" w:firstLine="0"/>
        <w:rPr>
          <w:rFonts w:ascii="Calibri" w:hAnsi="Calibri" w:cs="Calibri"/>
          <w:noProof/>
          <w:szCs w:val="20"/>
        </w:rPr>
      </w:pPr>
    </w:p>
    <w:p w14:paraId="46FCCDB9" w14:textId="77777777" w:rsidR="00043A0D" w:rsidRPr="00873C18" w:rsidRDefault="00043A0D" w:rsidP="00837271">
      <w:pPr>
        <w:tabs>
          <w:tab w:val="left" w:pos="567"/>
          <w:tab w:val="left" w:pos="964"/>
        </w:tabs>
        <w:ind w:left="0" w:firstLine="0"/>
        <w:rPr>
          <w:rFonts w:ascii="Calibri" w:hAnsi="Calibri" w:cs="Calibri"/>
          <w:noProof/>
          <w:szCs w:val="20"/>
        </w:rPr>
      </w:pPr>
    </w:p>
    <w:p w14:paraId="7052DA60" w14:textId="77777777" w:rsidR="00092BF8" w:rsidRPr="00873C18" w:rsidRDefault="00092BF8" w:rsidP="00092BF8">
      <w:pPr>
        <w:tabs>
          <w:tab w:val="left" w:pos="567"/>
          <w:tab w:val="left" w:pos="964"/>
        </w:tabs>
        <w:ind w:left="0" w:firstLine="0"/>
        <w:rPr>
          <w:rFonts w:cs="Calibri"/>
          <w:noProof/>
        </w:rPr>
      </w:pPr>
    </w:p>
    <w:p w14:paraId="7620914F" w14:textId="77777777" w:rsidR="00092BF8" w:rsidRPr="00873C18" w:rsidRDefault="00092BF8" w:rsidP="00092BF8">
      <w:pPr>
        <w:pStyle w:val="Raztko"/>
        <w:snapToGrid w:val="0"/>
        <w:spacing w:line="276" w:lineRule="auto"/>
        <w:rPr>
          <w:rFonts w:asciiTheme="minorHAnsi" w:hAnsiTheme="minorHAnsi" w:cstheme="minorHAnsi"/>
          <w:iCs/>
          <w:sz w:val="20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Základy</w:t>
      </w:r>
    </w:p>
    <w:p w14:paraId="5A736C60" w14:textId="2D94872E" w:rsidR="00092BF8" w:rsidRPr="00873C18" w:rsidRDefault="00092BF8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iCs/>
          <w:sz w:val="20"/>
        </w:rPr>
        <w:t xml:space="preserve">Dům se nachází v místě erozní rýhy, kde mocnost navážek dosahuje místy 6 m. Založen je na pilotách ø 900 mm průměrné délky 5 m. Na zhlaví pilot navazuje tenká železobetonová základová deska </w:t>
      </w:r>
      <w:proofErr w:type="spellStart"/>
      <w:r w:rsidRPr="00873C18">
        <w:rPr>
          <w:rFonts w:asciiTheme="minorHAnsi" w:hAnsiTheme="minorHAnsi" w:cstheme="minorHAnsi"/>
          <w:iCs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iCs/>
          <w:sz w:val="20"/>
        </w:rPr>
        <w:t xml:space="preserve">. 200 mm vyztužená v pruzích pod nosnými stěnami. V částech obvodu, kde je horní hrana základové desky méně než 600 mm pod UT, jsou zhlaví pilot snížená a na ně jsou uloženy obvodové monolitické železobetonové základové prahy šířky 400 mm. Výška těchto prahů je (od jejich dolní hrany po dolní hranu desky) nejméně 600 mm a po svahu k jihu a k východu je v rozmezí jednotlivých modulů zvětšena tak, aby jejich dolní hrana byla nejméně 300 mm pod úrovní upraveného terénu. Pod podkladním betonem </w:t>
      </w:r>
      <w:proofErr w:type="spellStart"/>
      <w:r w:rsidRPr="00873C18">
        <w:rPr>
          <w:rFonts w:asciiTheme="minorHAnsi" w:hAnsiTheme="minorHAnsi" w:cstheme="minorHAnsi"/>
          <w:iCs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iCs/>
          <w:sz w:val="20"/>
        </w:rPr>
        <w:t>. 100 mm pod prahy i pod deskou je vrstva štěrku 32/63</w:t>
      </w:r>
      <w:r w:rsidRPr="00873C18">
        <w:rPr>
          <w:sz w:val="24"/>
          <w:szCs w:val="24"/>
        </w:rPr>
        <w:t xml:space="preserve">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200 </w:t>
      </w:r>
      <w:r w:rsidRPr="00873C18">
        <w:rPr>
          <w:rFonts w:asciiTheme="minorHAnsi" w:hAnsiTheme="minorHAnsi" w:cstheme="minorHAnsi"/>
          <w:sz w:val="20"/>
        </w:rPr>
        <w:lastRenderedPageBreak/>
        <w:t xml:space="preserve">mm.        </w:t>
      </w:r>
    </w:p>
    <w:p w14:paraId="03051C6F" w14:textId="77777777" w:rsidR="00092BF8" w:rsidRPr="00873C18" w:rsidRDefault="00092BF8" w:rsidP="00092BF8">
      <w:pPr>
        <w:tabs>
          <w:tab w:val="left" w:pos="567"/>
          <w:tab w:val="left" w:pos="964"/>
        </w:tabs>
        <w:ind w:left="0" w:firstLine="0"/>
        <w:rPr>
          <w:rFonts w:cstheme="minorHAnsi"/>
          <w:noProof/>
          <w:szCs w:val="20"/>
        </w:rPr>
      </w:pPr>
    </w:p>
    <w:p w14:paraId="4AB67E5E" w14:textId="77777777" w:rsidR="00092BF8" w:rsidRPr="00873C18" w:rsidRDefault="00092BF8" w:rsidP="00092BF8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b/>
          <w:iCs/>
          <w:sz w:val="20"/>
          <w:u w:val="single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Svislé nosné konstrukce</w:t>
      </w:r>
    </w:p>
    <w:p w14:paraId="561AB337" w14:textId="09F33616" w:rsidR="00092BF8" w:rsidRPr="00873C18" w:rsidRDefault="00092BF8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Jsou tvořeny stěnovými prefabrikovanými dílci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150 mm, ze kterých jsou smontovány vnitřní i obvodové nosné stěny. Obvodové nosné zdivo vstupní přístavby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>. 200 mm je z tvárnic LIAPOR. Stěny výtahových šachet pod montážní úrovní 2.PP a nad úrovní stropu 6.NP a obvodové stěny 2.PP, které zároveň plní funkci opěrných stěn, jsou z monolitického železobetonu.</w:t>
      </w:r>
    </w:p>
    <w:p w14:paraId="00C260D5" w14:textId="77777777" w:rsidR="00092BF8" w:rsidRPr="00873C18" w:rsidRDefault="00092BF8" w:rsidP="00092BF8">
      <w:pPr>
        <w:tabs>
          <w:tab w:val="left" w:pos="567"/>
          <w:tab w:val="left" w:pos="964"/>
        </w:tabs>
        <w:ind w:left="0" w:firstLine="0"/>
        <w:rPr>
          <w:rFonts w:cstheme="minorHAnsi"/>
          <w:noProof/>
          <w:szCs w:val="20"/>
        </w:rPr>
      </w:pPr>
    </w:p>
    <w:p w14:paraId="0E7F933F" w14:textId="77777777" w:rsidR="00092BF8" w:rsidRPr="00873C18" w:rsidRDefault="00092BF8" w:rsidP="00092BF8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b/>
          <w:iCs/>
          <w:sz w:val="20"/>
          <w:u w:val="single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Vodorovné nosné konstrukce</w:t>
      </w:r>
    </w:p>
    <w:p w14:paraId="4F4095DA" w14:textId="2A85AF2D" w:rsidR="00092BF8" w:rsidRPr="00873C18" w:rsidRDefault="00092BF8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Stropy jsou filigránové celkové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180 mm (filigránové dílce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60 mm + monolitická vrstva železobetonu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120 mm spřažená s těmito dílci výztuží). </w:t>
      </w:r>
    </w:p>
    <w:p w14:paraId="7BC1AE59" w14:textId="59FBC371" w:rsidR="00092BF8" w:rsidRPr="00873C18" w:rsidRDefault="00092BF8" w:rsidP="00092BF8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Balkónové desky z pohledového železobetonu s horní plochou ve spádu od obvodové stěny k okapní hraně jsou prefabrikované. Tloušťka desek balkónů s vyložením 1250 mm je 150 až 160 mm, s vyložením 1500 mm 165 až 180 mm. Stropní a balkónové desky mají podhledové plochy v jedné rovině.  Součástí výztuže balkónových desek jsou tepelně izolační vložky MEA, jejichž volné části nerezových výztužných prutů jsou propojeny s výztuží monolitické vrstvy stropních desek. Souvislý polystyrénový pás těchto vložek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>. 80 mm navazuje v celé své tloušťce na tepelnou izolaci fasády a přerušuje tak tepelný most mezi balkóny a stropy.</w:t>
      </w:r>
    </w:p>
    <w:p w14:paraId="504A8A96" w14:textId="709D34B4" w:rsidR="00092BF8" w:rsidRPr="00873C18" w:rsidRDefault="00092BF8" w:rsidP="00092BF8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Římsy jsou vytvořeny </w:t>
      </w:r>
      <w:proofErr w:type="spellStart"/>
      <w:r w:rsidRPr="00873C18">
        <w:rPr>
          <w:rFonts w:asciiTheme="minorHAnsi" w:hAnsiTheme="minorHAnsi" w:cstheme="minorHAnsi"/>
          <w:sz w:val="20"/>
        </w:rPr>
        <w:t>vykonzolováním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 příslušných stropních desek. </w:t>
      </w:r>
    </w:p>
    <w:p w14:paraId="19C21A8E" w14:textId="77777777" w:rsidR="00092BF8" w:rsidRPr="00873C18" w:rsidRDefault="00092BF8" w:rsidP="00092BF8">
      <w:pPr>
        <w:tabs>
          <w:tab w:val="left" w:pos="567"/>
          <w:tab w:val="left" w:pos="964"/>
        </w:tabs>
        <w:ind w:left="0" w:firstLine="0"/>
        <w:rPr>
          <w:rFonts w:cs="Calibri"/>
          <w:noProof/>
        </w:rPr>
      </w:pPr>
    </w:p>
    <w:p w14:paraId="1C2199EC" w14:textId="77777777" w:rsidR="00092BF8" w:rsidRPr="00873C18" w:rsidRDefault="00092BF8" w:rsidP="00092BF8">
      <w:pPr>
        <w:ind w:left="0" w:firstLine="0"/>
        <w:rPr>
          <w:b/>
          <w:bCs/>
          <w:u w:val="single"/>
        </w:rPr>
      </w:pPr>
      <w:bookmarkStart w:id="0" w:name="_Toc62571705"/>
      <w:bookmarkStart w:id="1" w:name="_Toc282766024"/>
      <w:r w:rsidRPr="00873C18">
        <w:rPr>
          <w:b/>
          <w:bCs/>
          <w:u w:val="single"/>
        </w:rPr>
        <w:t>Nenosné zdivo</w:t>
      </w:r>
      <w:bookmarkEnd w:id="0"/>
      <w:bookmarkEnd w:id="1"/>
    </w:p>
    <w:p w14:paraId="46582242" w14:textId="77777777" w:rsidR="00092BF8" w:rsidRPr="00873C18" w:rsidRDefault="00092BF8" w:rsidP="00092BF8">
      <w:pPr>
        <w:pStyle w:val="Raztko"/>
        <w:snapToGrid w:val="0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Příčky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100 mm jsou vyzděny z cihel </w:t>
      </w:r>
      <w:proofErr w:type="spellStart"/>
      <w:r w:rsidRPr="00873C18">
        <w:rPr>
          <w:rFonts w:asciiTheme="minorHAnsi" w:hAnsiTheme="minorHAnsi" w:cstheme="minorHAnsi"/>
          <w:sz w:val="20"/>
        </w:rPr>
        <w:t>Pk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 CD 290 x 140 x 65 mm na MC 5, příčky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>. 150 mm ze stejných</w:t>
      </w:r>
      <w:r w:rsidRPr="00873C18">
        <w:rPr>
          <w:sz w:val="24"/>
          <w:szCs w:val="24"/>
        </w:rPr>
        <w:t xml:space="preserve"> </w:t>
      </w:r>
      <w:r w:rsidRPr="00873C18">
        <w:rPr>
          <w:rFonts w:asciiTheme="minorHAnsi" w:hAnsiTheme="minorHAnsi" w:cstheme="minorHAnsi"/>
          <w:sz w:val="20"/>
        </w:rPr>
        <w:t xml:space="preserve">cihel na MVC 2,5. Příčky jsou založeny ve 2.PP, v nepodsklepených částech 1.PP s podlahou bez tepelné izolace a v zádveří 1.NP na betonové mazanině kryjící hydroizolaci. V nepodsklepeném bytě v 1.PP jsou příčky založeny na hydroizolaci na podkladním betonu. Ostatní příčky jsou založeny na žel. bet. stropních deskách. U </w:t>
      </w:r>
      <w:proofErr w:type="spellStart"/>
      <w:r w:rsidRPr="00873C18">
        <w:rPr>
          <w:rFonts w:asciiTheme="minorHAnsi" w:hAnsiTheme="minorHAnsi" w:cstheme="minorHAnsi"/>
          <w:sz w:val="20"/>
        </w:rPr>
        <w:t>mezibytových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 montovaných železobetonových stěn jsou přizdívky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>. 100 mm z CP 290 x 140 x 65 na MVC 2,5.Boční stěny jižní části 6.NP a stěny pod šikmými stropy krajních bytů této části mají dřevěnou konstrukci z fošen 50 x 100 mm.</w:t>
      </w:r>
      <w:bookmarkStart w:id="2" w:name="_Hlk34212345"/>
    </w:p>
    <w:p w14:paraId="7B902CB1" w14:textId="77777777" w:rsidR="00092BF8" w:rsidRPr="00873C18" w:rsidRDefault="00092BF8" w:rsidP="00092BF8">
      <w:pPr>
        <w:pStyle w:val="Raztko"/>
        <w:snapToGrid w:val="0"/>
        <w:spacing w:line="276" w:lineRule="auto"/>
        <w:ind w:firstLine="284"/>
        <w:rPr>
          <w:rFonts w:asciiTheme="minorHAnsi" w:hAnsiTheme="minorHAnsi" w:cstheme="minorHAnsi"/>
          <w:sz w:val="20"/>
        </w:rPr>
      </w:pPr>
    </w:p>
    <w:p w14:paraId="40F8241B" w14:textId="77777777" w:rsidR="00092BF8" w:rsidRPr="00873C18" w:rsidRDefault="00DD7654" w:rsidP="00092BF8">
      <w:pPr>
        <w:pStyle w:val="Raztko"/>
        <w:snapToGrid w:val="0"/>
        <w:spacing w:line="276" w:lineRule="auto"/>
        <w:rPr>
          <w:rFonts w:cs="Arial"/>
          <w:b/>
          <w:bCs/>
          <w:szCs w:val="26"/>
          <w:u w:val="single"/>
        </w:rPr>
      </w:pPr>
      <w:r w:rsidRPr="00873C18">
        <w:rPr>
          <w:rFonts w:cs="Arial"/>
          <w:b/>
          <w:bCs/>
          <w:szCs w:val="26"/>
          <w:u w:val="single"/>
        </w:rPr>
        <w:t>Střecha</w:t>
      </w:r>
      <w:bookmarkEnd w:id="2"/>
    </w:p>
    <w:p w14:paraId="28505E79" w14:textId="1D50D495" w:rsidR="00DD7654" w:rsidRPr="00873C18" w:rsidRDefault="001D20B9" w:rsidP="00092BF8">
      <w:pPr>
        <w:pStyle w:val="Raztko"/>
        <w:snapToGrid w:val="0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>Krov je dřevěný vaznicový. Střecha nad nevytápěnými větranými prostory je dvouplášťová. Vrchní plášť je tvořen krytinou</w:t>
      </w:r>
      <w:r w:rsidR="00092BF8" w:rsidRPr="00873C18">
        <w:rPr>
          <w:rFonts w:asciiTheme="minorHAnsi" w:hAnsiTheme="minorHAnsi" w:cstheme="minorHAnsi"/>
          <w:sz w:val="20"/>
        </w:rPr>
        <w:t xml:space="preserve"> </w:t>
      </w:r>
      <w:r w:rsidRPr="00873C18">
        <w:rPr>
          <w:rFonts w:asciiTheme="minorHAnsi" w:hAnsiTheme="minorHAnsi" w:cstheme="minorHAnsi"/>
          <w:sz w:val="20"/>
        </w:rPr>
        <w:t>z betonových tašek KM BETA tmavohnědé barvy na latích, spodní plášť doplňkovou hydroizolační vrstvou z podstřešní nekontaktní fólie. Mezi oběma plášti jsou distančními latěmi vymezené větrané mezery. Nad vytápěnými prostory je střešní souvrství tříplášťové sestávající z výše uvedené krytiny a doplňkové hydroizolace a z tepelné izolace z rohoží ze skelné vlny s parozábranou na spodním líci. Mezi všemi třemi plášti jsou větrané mezery. V horní části střechy jsou osazeny větrací tašky.</w:t>
      </w:r>
    </w:p>
    <w:p w14:paraId="7C628A5F" w14:textId="77777777" w:rsidR="001C2F03" w:rsidRPr="00873C18" w:rsidRDefault="001C2F03" w:rsidP="001D20B9">
      <w:pPr>
        <w:pStyle w:val="Raztko"/>
        <w:snapToGrid w:val="0"/>
        <w:spacing w:line="276" w:lineRule="auto"/>
        <w:rPr>
          <w:sz w:val="24"/>
          <w:szCs w:val="24"/>
        </w:rPr>
      </w:pPr>
    </w:p>
    <w:p w14:paraId="22463314" w14:textId="77777777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b/>
          <w:iCs/>
          <w:sz w:val="20"/>
          <w:u w:val="single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Obklady</w:t>
      </w:r>
    </w:p>
    <w:p w14:paraId="45E6093B" w14:textId="769FDAB2" w:rsidR="001D20B9" w:rsidRPr="00873C18" w:rsidRDefault="001C2F03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iCs/>
          <w:sz w:val="20"/>
        </w:rPr>
      </w:pPr>
      <w:r w:rsidRPr="00873C18">
        <w:rPr>
          <w:rFonts w:asciiTheme="minorHAnsi" w:hAnsiTheme="minorHAnsi" w:cstheme="minorHAnsi"/>
          <w:iCs/>
          <w:sz w:val="20"/>
        </w:rPr>
        <w:t xml:space="preserve">Vnitřní </w:t>
      </w:r>
      <w:proofErr w:type="spellStart"/>
      <w:r w:rsidRPr="00873C18">
        <w:rPr>
          <w:rFonts w:asciiTheme="minorHAnsi" w:hAnsiTheme="minorHAnsi" w:cstheme="minorHAnsi"/>
          <w:iCs/>
          <w:sz w:val="20"/>
        </w:rPr>
        <w:t>bělninové</w:t>
      </w:r>
      <w:proofErr w:type="spellEnd"/>
      <w:r w:rsidRPr="00873C18">
        <w:rPr>
          <w:rFonts w:asciiTheme="minorHAnsi" w:hAnsiTheme="minorHAnsi" w:cstheme="minorHAnsi"/>
          <w:iCs/>
          <w:sz w:val="20"/>
        </w:rPr>
        <w:t xml:space="preserve"> obklady jsou provedeny do výšky 1500 mm nebo 2000 mm, za kuchyňskými linkami a vedle nich ve vodorovných pruzích výšky 600 mm výškově umístěných dle sestav jednotlivých linek. Obklady bočních stěn vedle sporáků půdorysně přesahují 300 mm před přední hrany linek s tím, že první tři sloupce obkladaček (nejméně 450 mm) jsou provedeny až k podlaze.</w:t>
      </w:r>
    </w:p>
    <w:p w14:paraId="5B63E49D" w14:textId="77777777" w:rsidR="001C2F03" w:rsidRPr="00873C18" w:rsidRDefault="001C2F03" w:rsidP="001D20B9">
      <w:pPr>
        <w:pStyle w:val="Raztko"/>
        <w:snapToGrid w:val="0"/>
        <w:spacing w:line="276" w:lineRule="auto"/>
        <w:rPr>
          <w:sz w:val="24"/>
          <w:szCs w:val="24"/>
        </w:rPr>
      </w:pPr>
    </w:p>
    <w:p w14:paraId="4119E32C" w14:textId="77777777" w:rsidR="001C2F03" w:rsidRPr="00873C18" w:rsidRDefault="001C2F03" w:rsidP="001C2F03">
      <w:pPr>
        <w:pStyle w:val="Raztko"/>
        <w:snapToGrid w:val="0"/>
        <w:spacing w:line="276" w:lineRule="auto"/>
        <w:rPr>
          <w:rFonts w:asciiTheme="minorHAnsi" w:hAnsiTheme="minorHAnsi" w:cstheme="minorHAnsi"/>
          <w:b/>
          <w:iCs/>
          <w:sz w:val="20"/>
          <w:u w:val="single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Otvorové výplně</w:t>
      </w:r>
    </w:p>
    <w:p w14:paraId="192CE095" w14:textId="2B5568E1" w:rsidR="001C2F03" w:rsidRPr="00873C18" w:rsidRDefault="001C2F03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>Okna, balkonové a vchodové dveře jsou plastové se zasklením izolačním dvojsklem. Skla ve spodní části dveří v bytech vozíčkářů a ve všech společných prostorách jsou bezpečností tvrzená. Ovládací kování oken v těchto prostorách jsou umístěna v jejich dolní části 900 až 1100 mm nad podlahou.</w:t>
      </w:r>
    </w:p>
    <w:p w14:paraId="69B0868C" w14:textId="65D2014C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Dělicí balkónové stěny jsou zaskleny žlutým </w:t>
      </w:r>
      <w:proofErr w:type="spellStart"/>
      <w:r w:rsidRPr="00873C18">
        <w:rPr>
          <w:rFonts w:asciiTheme="minorHAnsi" w:hAnsiTheme="minorHAnsi" w:cstheme="minorHAnsi"/>
          <w:sz w:val="20"/>
        </w:rPr>
        <w:t>drátosklem</w:t>
      </w:r>
      <w:proofErr w:type="spellEnd"/>
      <w:r w:rsidRPr="00873C18">
        <w:rPr>
          <w:rFonts w:asciiTheme="minorHAnsi" w:hAnsiTheme="minorHAnsi" w:cstheme="minorHAnsi"/>
          <w:sz w:val="20"/>
        </w:rPr>
        <w:t>.</w:t>
      </w:r>
    </w:p>
    <w:p w14:paraId="3426A192" w14:textId="4488A0BE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>Vnitřní dveře jsou typové plné nebo ze 2/3 zasklené. Požární dveře jsou typové plné.</w:t>
      </w:r>
    </w:p>
    <w:p w14:paraId="4911296B" w14:textId="488B7496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Zárubně v panelech jsou montované MZE 1, pro požární dveře MZE 3, ve zděných stěnách </w:t>
      </w:r>
      <w:proofErr w:type="spellStart"/>
      <w:r w:rsidRPr="00873C18">
        <w:rPr>
          <w:rFonts w:asciiTheme="minorHAnsi" w:hAnsiTheme="minorHAnsi" w:cstheme="minorHAnsi"/>
          <w:sz w:val="20"/>
        </w:rPr>
        <w:t>CgH</w:t>
      </w:r>
      <w:proofErr w:type="spellEnd"/>
      <w:r w:rsidRPr="00873C18">
        <w:rPr>
          <w:rFonts w:asciiTheme="minorHAnsi" w:hAnsiTheme="minorHAnsi" w:cstheme="minorHAnsi"/>
          <w:sz w:val="20"/>
        </w:rPr>
        <w:t>.</w:t>
      </w:r>
    </w:p>
    <w:p w14:paraId="326EBD5F" w14:textId="290476FC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>Do obezdívek instalačních šachet jsou v místech vodoměrů a uzavíracích ventilů osazena armaturní dvířka z pozinkovaného plechu 500 x 1000 mm s parapetem ve výšce 900 mm nad podlahou.</w:t>
      </w:r>
    </w:p>
    <w:p w14:paraId="522BD175" w14:textId="22C258AD" w:rsidR="00146FA9" w:rsidRPr="00873C18" w:rsidRDefault="00146FA9" w:rsidP="00146FA9">
      <w:pPr>
        <w:ind w:left="0" w:firstLine="0"/>
      </w:pPr>
    </w:p>
    <w:p w14:paraId="5870D60A" w14:textId="1A3D732F" w:rsidR="00DD7654" w:rsidRPr="00873C18" w:rsidRDefault="006858D4" w:rsidP="00DD7654">
      <w:pPr>
        <w:ind w:left="0" w:firstLine="0"/>
        <w:rPr>
          <w:i/>
          <w:iCs/>
        </w:rPr>
      </w:pPr>
      <w:r w:rsidRPr="00873C18">
        <w:rPr>
          <w:rFonts w:eastAsia="Arial" w:cs="Times New Roman"/>
          <w:b/>
          <w:u w:val="single"/>
          <w:lang w:bidi="hi-IN"/>
        </w:rPr>
        <w:t>P</w:t>
      </w:r>
      <w:r w:rsidR="00DD7654" w:rsidRPr="00873C18">
        <w:rPr>
          <w:rFonts w:eastAsia="Arial" w:cs="Times New Roman"/>
          <w:b/>
          <w:u w:val="single"/>
          <w:lang w:bidi="hi-IN"/>
        </w:rPr>
        <w:t>odlahy</w:t>
      </w:r>
    </w:p>
    <w:p w14:paraId="17ECE505" w14:textId="53A8D0FC" w:rsidR="004071CD" w:rsidRPr="00873C18" w:rsidRDefault="004071CD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V obytných místnostech </w:t>
      </w:r>
      <w:r w:rsidR="00134BE1" w:rsidRPr="00873C18">
        <w:rPr>
          <w:rFonts w:asciiTheme="minorHAnsi" w:hAnsiTheme="minorHAnsi" w:cstheme="minorHAnsi"/>
          <w:sz w:val="20"/>
        </w:rPr>
        <w:t>jsou na disperzním lepidle přilepen PVC IZOPLAST KOLOR. Podlahy chodeb před byty a komor vedle schodiště v 1. PP a 2. až 6. NP pokrývá homogenní povlak PVC, stupně schodiště pryž SUPER ZLINOLIT a balkony stěrka FORTE BAK</w:t>
      </w:r>
    </w:p>
    <w:p w14:paraId="155142C9" w14:textId="7D931352" w:rsidR="001D20B9" w:rsidRPr="00873C18" w:rsidRDefault="001D20B9" w:rsidP="00134BE1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sz w:val="20"/>
        </w:rPr>
      </w:pPr>
      <w:r w:rsidRPr="00873C18">
        <w:rPr>
          <w:rFonts w:asciiTheme="minorHAnsi" w:hAnsiTheme="minorHAnsi" w:cstheme="minorHAnsi"/>
          <w:sz w:val="20"/>
        </w:rPr>
        <w:t xml:space="preserve">V koupelnách se sprchovými mísami jsou plochy vedle těchto mís zvednuty do úrovně jejich horních hran se spádem </w:t>
      </w:r>
      <w:proofErr w:type="gramStart"/>
      <w:r w:rsidRPr="00873C18">
        <w:rPr>
          <w:rFonts w:asciiTheme="minorHAnsi" w:hAnsiTheme="minorHAnsi" w:cstheme="minorHAnsi"/>
          <w:sz w:val="20"/>
        </w:rPr>
        <w:t>1%</w:t>
      </w:r>
      <w:proofErr w:type="gramEnd"/>
      <w:r w:rsidRPr="00873C18">
        <w:rPr>
          <w:rFonts w:asciiTheme="minorHAnsi" w:hAnsiTheme="minorHAnsi" w:cstheme="minorHAnsi"/>
          <w:sz w:val="20"/>
        </w:rPr>
        <w:t xml:space="preserve"> od stěny k míse. Zvýšení je provedeno </w:t>
      </w:r>
      <w:proofErr w:type="spellStart"/>
      <w:r w:rsidRPr="00873C18">
        <w:rPr>
          <w:rFonts w:asciiTheme="minorHAnsi" w:hAnsiTheme="minorHAnsi" w:cstheme="minorHAnsi"/>
          <w:sz w:val="20"/>
        </w:rPr>
        <w:t>polystyrenbetonovou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 výplní ukončenou cementovým potěrem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30 mm. Na tomto potěru je hydroizolační vrstva z tekuté těsnicí fólie MUREXIN a protiskluzná dlažba ve stejném provedení jako na podlahách v koupelnách </w:t>
      </w:r>
      <w:proofErr w:type="spellStart"/>
      <w:proofErr w:type="gramStart"/>
      <w:r w:rsidRPr="00873C18">
        <w:rPr>
          <w:rFonts w:asciiTheme="minorHAnsi" w:hAnsiTheme="minorHAnsi" w:cstheme="minorHAnsi"/>
          <w:sz w:val="20"/>
        </w:rPr>
        <w:lastRenderedPageBreak/>
        <w:t>vozíčkářů.V</w:t>
      </w:r>
      <w:proofErr w:type="spellEnd"/>
      <w:proofErr w:type="gramEnd"/>
      <w:r w:rsidRPr="00873C18">
        <w:rPr>
          <w:rFonts w:asciiTheme="minorHAnsi" w:hAnsiTheme="minorHAnsi" w:cstheme="minorHAnsi"/>
          <w:sz w:val="20"/>
        </w:rPr>
        <w:t xml:space="preserve"> půdním prostoru jsou nad vrstvou tepelné izolace revizní lávky šířky 600 mm z prken </w:t>
      </w:r>
      <w:proofErr w:type="spellStart"/>
      <w:r w:rsidRPr="00873C18">
        <w:rPr>
          <w:rFonts w:asciiTheme="minorHAnsi" w:hAnsiTheme="minorHAnsi" w:cstheme="minorHAnsi"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sz w:val="20"/>
        </w:rPr>
        <w:t xml:space="preserve">. 32 mm vedoucí od výlezu do půdního prostoru pod hřebeny střechy, k výlezu na střechu a k větracím otvorům výtahových šachet. </w:t>
      </w:r>
      <w:r w:rsidR="00134BE1" w:rsidRPr="00873C18">
        <w:rPr>
          <w:rFonts w:asciiTheme="minorHAnsi" w:hAnsiTheme="minorHAnsi" w:cstheme="minorHAnsi"/>
          <w:sz w:val="20"/>
        </w:rPr>
        <w:t>Viz skladby konstrukcí</w:t>
      </w:r>
    </w:p>
    <w:p w14:paraId="1ED1376C" w14:textId="77777777" w:rsidR="00DD7654" w:rsidRPr="00873C18" w:rsidRDefault="00DD7654" w:rsidP="00DD7654"/>
    <w:p w14:paraId="66B61BB3" w14:textId="303DC5A1" w:rsidR="00DD7654" w:rsidRPr="00873C18" w:rsidRDefault="008955EB" w:rsidP="00DD7654">
      <w:pPr>
        <w:ind w:left="0" w:firstLine="0"/>
        <w:rPr>
          <w:b/>
          <w:bCs/>
          <w:u w:val="single"/>
        </w:rPr>
      </w:pPr>
      <w:r w:rsidRPr="00873C18">
        <w:rPr>
          <w:b/>
          <w:bCs/>
          <w:u w:val="single"/>
        </w:rPr>
        <w:t>O</w:t>
      </w:r>
      <w:r w:rsidR="00DD7654" w:rsidRPr="00873C18">
        <w:rPr>
          <w:b/>
          <w:bCs/>
          <w:u w:val="single"/>
        </w:rPr>
        <w:t>mítky</w:t>
      </w:r>
      <w:r w:rsidR="00216FBB" w:rsidRPr="00873C18">
        <w:rPr>
          <w:b/>
          <w:bCs/>
          <w:u w:val="single"/>
        </w:rPr>
        <w:t xml:space="preserve"> a malby</w:t>
      </w:r>
    </w:p>
    <w:p w14:paraId="5C39BE31" w14:textId="720712F4" w:rsidR="00DD7654" w:rsidRPr="00873C18" w:rsidRDefault="00092BF8" w:rsidP="00134BE1">
      <w:pPr>
        <w:ind w:left="0" w:firstLine="0"/>
        <w:rPr>
          <w:rFonts w:cstheme="minorHAnsi"/>
          <w:szCs w:val="20"/>
        </w:rPr>
      </w:pPr>
      <w:r w:rsidRPr="00873C18">
        <w:rPr>
          <w:rFonts w:cstheme="minorHAnsi"/>
          <w:szCs w:val="20"/>
        </w:rPr>
        <w:tab/>
      </w:r>
      <w:r w:rsidR="00134BE1" w:rsidRPr="00873C18">
        <w:rPr>
          <w:rFonts w:cstheme="minorHAnsi"/>
          <w:szCs w:val="20"/>
        </w:rPr>
        <w:t xml:space="preserve">Omítky zděných konstrukcí jsou dvouvrstvé hladké (jádro + štuk) z MVC, vnitřní </w:t>
      </w:r>
      <w:proofErr w:type="spellStart"/>
      <w:r w:rsidR="00134BE1" w:rsidRPr="00873C18">
        <w:rPr>
          <w:rFonts w:cstheme="minorHAnsi"/>
          <w:szCs w:val="20"/>
        </w:rPr>
        <w:t>tl</w:t>
      </w:r>
      <w:proofErr w:type="spellEnd"/>
      <w:r w:rsidR="00134BE1" w:rsidRPr="00873C18">
        <w:rPr>
          <w:rFonts w:cstheme="minorHAnsi"/>
          <w:szCs w:val="20"/>
        </w:rPr>
        <w:t xml:space="preserve">. 15 mm. Na </w:t>
      </w:r>
      <w:proofErr w:type="spellStart"/>
      <w:r w:rsidR="00134BE1" w:rsidRPr="00873C18">
        <w:rPr>
          <w:rFonts w:cstheme="minorHAnsi"/>
          <w:szCs w:val="20"/>
        </w:rPr>
        <w:t>lignoporu</w:t>
      </w:r>
      <w:proofErr w:type="spellEnd"/>
      <w:r w:rsidR="00134BE1" w:rsidRPr="00873C18">
        <w:rPr>
          <w:rFonts w:cstheme="minorHAnsi"/>
          <w:szCs w:val="20"/>
        </w:rPr>
        <w:t xml:space="preserve"> jsou vyztuženy </w:t>
      </w:r>
      <w:proofErr w:type="spellStart"/>
      <w:r w:rsidR="00134BE1" w:rsidRPr="00873C18">
        <w:rPr>
          <w:rFonts w:cstheme="minorHAnsi"/>
          <w:szCs w:val="20"/>
        </w:rPr>
        <w:t>Rabitzovým</w:t>
      </w:r>
      <w:proofErr w:type="spellEnd"/>
      <w:r w:rsidR="00134BE1" w:rsidRPr="00873C18">
        <w:rPr>
          <w:rFonts w:cstheme="minorHAnsi"/>
          <w:szCs w:val="20"/>
        </w:rPr>
        <w:t xml:space="preserve"> pletivem. Vnitřní plochy tvořené panely, filigrány a přesnými </w:t>
      </w:r>
      <w:r w:rsidR="00764EFA" w:rsidRPr="00873C18">
        <w:rPr>
          <w:rFonts w:cstheme="minorHAnsi"/>
          <w:szCs w:val="20"/>
        </w:rPr>
        <w:t xml:space="preserve">tvárnicemi </w:t>
      </w:r>
      <w:proofErr w:type="spellStart"/>
      <w:r w:rsidR="00764EFA" w:rsidRPr="00873C18">
        <w:rPr>
          <w:rFonts w:cstheme="minorHAnsi"/>
          <w:szCs w:val="20"/>
        </w:rPr>
        <w:t>stěrkovány</w:t>
      </w:r>
      <w:proofErr w:type="spellEnd"/>
      <w:r w:rsidR="00134BE1" w:rsidRPr="00873C18">
        <w:rPr>
          <w:rFonts w:cstheme="minorHAnsi"/>
          <w:szCs w:val="20"/>
        </w:rPr>
        <w:t xml:space="preserve"> štukem s disperzí. Boční plochy schodišťových ramen jsou opatřeny cementovým štukem s disperzí.</w:t>
      </w:r>
    </w:p>
    <w:p w14:paraId="1AC905B2" w14:textId="77777777" w:rsidR="00134BE1" w:rsidRPr="00873C18" w:rsidRDefault="00134BE1" w:rsidP="00134BE1">
      <w:pPr>
        <w:ind w:left="0" w:firstLine="0"/>
        <w:rPr>
          <w:rFonts w:cstheme="minorHAnsi"/>
          <w:szCs w:val="20"/>
        </w:rPr>
      </w:pPr>
    </w:p>
    <w:p w14:paraId="33181354" w14:textId="77777777" w:rsidR="001C2F03" w:rsidRPr="00873C18" w:rsidRDefault="001C2F03" w:rsidP="001C2F03">
      <w:pPr>
        <w:pStyle w:val="Raztko"/>
        <w:snapToGrid w:val="0"/>
        <w:spacing w:line="276" w:lineRule="auto"/>
        <w:jc w:val="left"/>
        <w:rPr>
          <w:rFonts w:asciiTheme="minorHAnsi" w:hAnsiTheme="minorHAnsi" w:cstheme="minorHAnsi"/>
          <w:b/>
          <w:iCs/>
          <w:sz w:val="20"/>
          <w:u w:val="single"/>
        </w:rPr>
      </w:pPr>
      <w:r w:rsidRPr="00873C18">
        <w:rPr>
          <w:rFonts w:asciiTheme="minorHAnsi" w:hAnsiTheme="minorHAnsi" w:cstheme="minorHAnsi"/>
          <w:b/>
          <w:iCs/>
          <w:sz w:val="20"/>
          <w:u w:val="single"/>
        </w:rPr>
        <w:t>Tepelné izolace</w:t>
      </w:r>
    </w:p>
    <w:p w14:paraId="3DAA3D21" w14:textId="7EF36874" w:rsidR="001C2F03" w:rsidRPr="00873C18" w:rsidRDefault="001C2F03" w:rsidP="00092BF8">
      <w:pPr>
        <w:pStyle w:val="Raztko"/>
        <w:snapToGrid w:val="0"/>
        <w:spacing w:line="276" w:lineRule="auto"/>
        <w:ind w:firstLine="284"/>
        <w:jc w:val="left"/>
        <w:rPr>
          <w:rFonts w:asciiTheme="minorHAnsi" w:hAnsiTheme="minorHAnsi" w:cstheme="minorHAnsi"/>
          <w:iCs/>
          <w:sz w:val="20"/>
        </w:rPr>
      </w:pPr>
      <w:r w:rsidRPr="00873C18">
        <w:rPr>
          <w:rFonts w:asciiTheme="minorHAnsi" w:hAnsiTheme="minorHAnsi" w:cstheme="minorHAnsi"/>
          <w:iCs/>
          <w:sz w:val="20"/>
        </w:rPr>
        <w:t xml:space="preserve">Obvodový plášť objektu je zateplen kontaktním fasádním izolačním systémem BAUMIT. Vlastní tepelnou izolaci </w:t>
      </w:r>
      <w:proofErr w:type="gramStart"/>
      <w:r w:rsidRPr="00873C18">
        <w:rPr>
          <w:rFonts w:asciiTheme="minorHAnsi" w:hAnsiTheme="minorHAnsi" w:cstheme="minorHAnsi"/>
          <w:iCs/>
          <w:sz w:val="20"/>
        </w:rPr>
        <w:t>tvoří</w:t>
      </w:r>
      <w:proofErr w:type="gramEnd"/>
      <w:r w:rsidRPr="00873C18">
        <w:rPr>
          <w:rFonts w:asciiTheme="minorHAnsi" w:hAnsiTheme="minorHAnsi" w:cstheme="minorHAnsi"/>
          <w:iCs/>
          <w:sz w:val="20"/>
        </w:rPr>
        <w:t xml:space="preserve"> polystyrenové desky </w:t>
      </w:r>
      <w:proofErr w:type="spellStart"/>
      <w:r w:rsidRPr="00873C18">
        <w:rPr>
          <w:rFonts w:asciiTheme="minorHAnsi" w:hAnsiTheme="minorHAnsi" w:cstheme="minorHAnsi"/>
          <w:iCs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iCs/>
          <w:sz w:val="20"/>
        </w:rPr>
        <w:t xml:space="preserve">. 100 mm lepené a talířovými hmoždinkami kotvené k obvodovým stěnám. V nadpražích oken a balkonových dveří, nad nimiž jsou tepelně izolační vložky MEA, jsou v </w:t>
      </w:r>
      <w:r w:rsidR="00764EFA" w:rsidRPr="00873C18">
        <w:rPr>
          <w:rFonts w:asciiTheme="minorHAnsi" w:hAnsiTheme="minorHAnsi" w:cstheme="minorHAnsi"/>
          <w:iCs/>
          <w:sz w:val="20"/>
        </w:rPr>
        <w:t>celé délce</w:t>
      </w:r>
      <w:r w:rsidRPr="00873C18">
        <w:rPr>
          <w:rFonts w:asciiTheme="minorHAnsi" w:hAnsiTheme="minorHAnsi" w:cstheme="minorHAnsi"/>
          <w:iCs/>
          <w:sz w:val="20"/>
        </w:rPr>
        <w:t xml:space="preserve"> těchto vložek místo polystyrenových desek fasádní desky z minerálních </w:t>
      </w:r>
      <w:proofErr w:type="gramStart"/>
      <w:r w:rsidRPr="00873C18">
        <w:rPr>
          <w:rFonts w:asciiTheme="minorHAnsi" w:hAnsiTheme="minorHAnsi" w:cstheme="minorHAnsi"/>
          <w:iCs/>
          <w:sz w:val="20"/>
        </w:rPr>
        <w:t>vláken  ORSIL</w:t>
      </w:r>
      <w:proofErr w:type="gramEnd"/>
      <w:r w:rsidRPr="00873C18">
        <w:rPr>
          <w:rFonts w:asciiTheme="minorHAnsi" w:hAnsiTheme="minorHAnsi" w:cstheme="minorHAnsi"/>
          <w:iCs/>
          <w:sz w:val="20"/>
        </w:rPr>
        <w:t xml:space="preserve"> </w:t>
      </w:r>
      <w:proofErr w:type="spellStart"/>
      <w:r w:rsidRPr="00873C18">
        <w:rPr>
          <w:rFonts w:asciiTheme="minorHAnsi" w:hAnsiTheme="minorHAnsi" w:cstheme="minorHAnsi"/>
          <w:iCs/>
          <w:sz w:val="20"/>
        </w:rPr>
        <w:t>tl</w:t>
      </w:r>
      <w:proofErr w:type="spellEnd"/>
      <w:r w:rsidRPr="00873C18">
        <w:rPr>
          <w:rFonts w:asciiTheme="minorHAnsi" w:hAnsiTheme="minorHAnsi" w:cstheme="minorHAnsi"/>
          <w:iCs/>
          <w:sz w:val="20"/>
        </w:rPr>
        <w:t>. 100 mm.</w:t>
      </w:r>
    </w:p>
    <w:p w14:paraId="26C01CA8" w14:textId="77777777" w:rsidR="001C2F03" w:rsidRPr="00873C18" w:rsidRDefault="001C2F03" w:rsidP="00134BE1">
      <w:pPr>
        <w:ind w:left="0" w:firstLine="0"/>
        <w:rPr>
          <w:rFonts w:cstheme="minorHAnsi"/>
          <w:szCs w:val="20"/>
        </w:rPr>
      </w:pPr>
    </w:p>
    <w:p w14:paraId="5FB925F0" w14:textId="77777777" w:rsidR="001C2F03" w:rsidRPr="00873C18" w:rsidRDefault="001C2F03" w:rsidP="00134BE1">
      <w:pPr>
        <w:ind w:left="0" w:firstLine="0"/>
        <w:rPr>
          <w:rFonts w:cstheme="minorHAnsi"/>
          <w:szCs w:val="20"/>
        </w:rPr>
      </w:pPr>
    </w:p>
    <w:p w14:paraId="064C8C50" w14:textId="2DC98357" w:rsidR="00957438" w:rsidRPr="00957438" w:rsidRDefault="00957438" w:rsidP="00066C89">
      <w:pPr>
        <w:pStyle w:val="Odstavecseseznamem"/>
        <w:numPr>
          <w:ilvl w:val="3"/>
          <w:numId w:val="3"/>
        </w:numPr>
        <w:tabs>
          <w:tab w:val="left" w:pos="567"/>
          <w:tab w:val="left" w:pos="964"/>
        </w:tabs>
        <w:jc w:val="both"/>
        <w:rPr>
          <w:b/>
          <w:bCs/>
        </w:rPr>
      </w:pPr>
      <w:r w:rsidRPr="00957438">
        <w:rPr>
          <w:b/>
          <w:bCs/>
        </w:rPr>
        <w:t>Technický popis stavby a jejího technického zařízení</w:t>
      </w:r>
      <w:r>
        <w:rPr>
          <w:b/>
          <w:bCs/>
        </w:rPr>
        <w:t>.</w:t>
      </w:r>
    </w:p>
    <w:p w14:paraId="6C1EE027" w14:textId="77777777" w:rsidR="00DD7654" w:rsidRPr="00873C18" w:rsidRDefault="00DD7654" w:rsidP="007C7765">
      <w:pPr>
        <w:pStyle w:val="EAMezery"/>
        <w:rPr>
          <w:rFonts w:eastAsia="SimSun"/>
        </w:rPr>
      </w:pPr>
    </w:p>
    <w:p w14:paraId="52F37247" w14:textId="77777777" w:rsidR="007C7765" w:rsidRPr="00873C18" w:rsidRDefault="007C7765" w:rsidP="007C7765">
      <w:pPr>
        <w:pStyle w:val="EA5"/>
        <w:rPr>
          <w:rFonts w:eastAsia="Arial"/>
          <w:lang w:bidi="hi-IN"/>
        </w:rPr>
      </w:pPr>
      <w:r w:rsidRPr="00873C18">
        <w:rPr>
          <w:rFonts w:eastAsia="Arial"/>
          <w:lang w:bidi="hi-IN"/>
        </w:rPr>
        <w:t>Vytápění</w:t>
      </w:r>
    </w:p>
    <w:p w14:paraId="5BC8E9A8" w14:textId="52AF75F4" w:rsidR="007C7765" w:rsidRPr="00873C18" w:rsidRDefault="00764EFA" w:rsidP="00887294">
      <w:pPr>
        <w:pStyle w:val="EAMezery"/>
        <w:jc w:val="both"/>
        <w:rPr>
          <w:rFonts w:eastAsiaTheme="minorHAnsi" w:cs="Calibri"/>
          <w:noProof/>
          <w:sz w:val="20"/>
          <w:lang w:eastAsia="en-US"/>
        </w:rPr>
      </w:pPr>
      <w:r w:rsidRPr="00873C18">
        <w:rPr>
          <w:rFonts w:eastAsiaTheme="minorHAnsi" w:cs="Calibri"/>
          <w:noProof/>
          <w:sz w:val="20"/>
          <w:lang w:eastAsia="en-US"/>
        </w:rPr>
        <w:tab/>
        <w:t xml:space="preserve">Ve 2. PP se nachází předávací stanice, ze které je rozvedená topná voda do jednotlivých bytů v objektu. </w:t>
      </w:r>
    </w:p>
    <w:p w14:paraId="12293CE7" w14:textId="77777777" w:rsidR="00764EFA" w:rsidRPr="00873C18" w:rsidRDefault="00764EFA" w:rsidP="00887294">
      <w:pPr>
        <w:pStyle w:val="EAMezery"/>
        <w:jc w:val="both"/>
        <w:rPr>
          <w:rFonts w:eastAsia="SimSun"/>
          <w:noProof/>
        </w:rPr>
      </w:pPr>
    </w:p>
    <w:p w14:paraId="45B8BF34" w14:textId="77777777" w:rsidR="007C7765" w:rsidRPr="00873C18" w:rsidRDefault="007C7765" w:rsidP="007C7765">
      <w:pPr>
        <w:pStyle w:val="EA5"/>
        <w:rPr>
          <w:rFonts w:eastAsia="Arial"/>
          <w:lang w:bidi="hi-IN"/>
        </w:rPr>
      </w:pPr>
      <w:r w:rsidRPr="00873C18">
        <w:rPr>
          <w:rFonts w:eastAsia="Arial"/>
          <w:lang w:bidi="hi-IN"/>
        </w:rPr>
        <w:t>Příprava teplé vody</w:t>
      </w:r>
    </w:p>
    <w:p w14:paraId="21D81062" w14:textId="41D90B40" w:rsidR="00513C09" w:rsidRPr="00873C18" w:rsidRDefault="00D26E2C" w:rsidP="008955EB">
      <w:pPr>
        <w:tabs>
          <w:tab w:val="left" w:pos="567"/>
          <w:tab w:val="left" w:pos="964"/>
        </w:tabs>
        <w:jc w:val="both"/>
        <w:rPr>
          <w:rFonts w:cs="Calibri"/>
          <w:noProof/>
        </w:rPr>
      </w:pPr>
      <w:r w:rsidRPr="00873C18">
        <w:rPr>
          <w:rFonts w:cs="Calibri"/>
          <w:noProof/>
        </w:rPr>
        <w:t>Z centráního zásobování, z předávací stanice je proveden rozvod teplé vody do jednotlivých jednotek.</w:t>
      </w:r>
    </w:p>
    <w:p w14:paraId="240ED9C2" w14:textId="77777777" w:rsidR="007C7765" w:rsidRPr="00873C18" w:rsidRDefault="007C7765" w:rsidP="007C7765">
      <w:pPr>
        <w:pStyle w:val="EAMezery"/>
        <w:rPr>
          <w:rFonts w:eastAsia="SimSun"/>
          <w:noProof/>
        </w:rPr>
      </w:pPr>
    </w:p>
    <w:p w14:paraId="68C4A344" w14:textId="77777777" w:rsidR="007C7765" w:rsidRPr="00873C18" w:rsidRDefault="007C7765" w:rsidP="007C7765">
      <w:pPr>
        <w:pStyle w:val="EA5"/>
        <w:rPr>
          <w:rFonts w:eastAsia="Arial"/>
          <w:lang w:bidi="hi-IN"/>
        </w:rPr>
      </w:pPr>
      <w:r w:rsidRPr="00873C18">
        <w:rPr>
          <w:rFonts w:eastAsia="Arial"/>
          <w:lang w:bidi="hi-IN"/>
        </w:rPr>
        <w:t>Vzduchotechnika</w:t>
      </w:r>
    </w:p>
    <w:p w14:paraId="5D6E80DF" w14:textId="118404F3" w:rsidR="00513C09" w:rsidRPr="00873C18" w:rsidRDefault="00D26E2C" w:rsidP="00513C09">
      <w:pPr>
        <w:jc w:val="both"/>
      </w:pPr>
      <w:r w:rsidRPr="00873C18">
        <w:t>Pobytové místnosti jsou větrány přirozeně okny, sociální zázemí je větráno odtahovými ventilátory nad střechu a v kuchyních jsou osazeny digestoře s odtahem nad střechu.</w:t>
      </w:r>
    </w:p>
    <w:p w14:paraId="6F2C4450" w14:textId="77777777" w:rsidR="007C7765" w:rsidRPr="00873C18" w:rsidRDefault="007C7765" w:rsidP="007C7765">
      <w:pPr>
        <w:pStyle w:val="EAMezery"/>
        <w:rPr>
          <w:rFonts w:eastAsia="SimSun"/>
        </w:rPr>
      </w:pPr>
    </w:p>
    <w:p w14:paraId="1045A8E0" w14:textId="77777777" w:rsidR="007C7765" w:rsidRPr="00873C18" w:rsidRDefault="007C7765" w:rsidP="007C7765">
      <w:pPr>
        <w:pStyle w:val="EA5"/>
        <w:rPr>
          <w:rFonts w:eastAsia="Arial"/>
          <w:lang w:bidi="hi-IN"/>
        </w:rPr>
      </w:pPr>
      <w:r w:rsidRPr="00873C18">
        <w:rPr>
          <w:rFonts w:eastAsia="Arial"/>
          <w:lang w:bidi="hi-IN"/>
        </w:rPr>
        <w:t>Chlazení</w:t>
      </w:r>
    </w:p>
    <w:p w14:paraId="5B6C5DEF" w14:textId="77777777" w:rsidR="007C7765" w:rsidRPr="00873C18" w:rsidRDefault="007C7765" w:rsidP="007C7765">
      <w:r w:rsidRPr="00873C18">
        <w:t>V objektu není umístěno žádné chladící zařízení.</w:t>
      </w:r>
    </w:p>
    <w:p w14:paraId="675C7B61" w14:textId="77777777" w:rsidR="007C7765" w:rsidRPr="00873C18" w:rsidRDefault="007C7765" w:rsidP="007C7765">
      <w:pPr>
        <w:pStyle w:val="EAMezery"/>
      </w:pPr>
    </w:p>
    <w:p w14:paraId="0023264C" w14:textId="77777777" w:rsidR="003053C2" w:rsidRPr="00873C18" w:rsidRDefault="003053C2" w:rsidP="003053C2">
      <w:pPr>
        <w:pStyle w:val="EA5"/>
        <w:rPr>
          <w:rFonts w:cs="Arial"/>
        </w:rPr>
      </w:pPr>
      <w:r w:rsidRPr="00873C18">
        <w:t>Osvětlení a elektroinstalace</w:t>
      </w:r>
    </w:p>
    <w:p w14:paraId="5F80E070" w14:textId="77777777" w:rsidR="003053C2" w:rsidRPr="00873C18" w:rsidRDefault="003053C2" w:rsidP="003053C2">
      <w:pPr>
        <w:tabs>
          <w:tab w:val="clear" w:pos="284"/>
        </w:tabs>
        <w:jc w:val="both"/>
        <w:rPr>
          <w:rFonts w:cs="Arial"/>
        </w:rPr>
      </w:pPr>
      <w:r w:rsidRPr="00873C18">
        <w:rPr>
          <w:rFonts w:cs="Arial"/>
        </w:rPr>
        <w:t>Elektroinstalace je provedena měděnými vodiči typu „CYKY“, umístěnými převážně pod omítkou. Ve většině prostor je provedeno osvětlení pomocí zářivkových svítidel. Veškerá svítidla jsou instalována na přisazených stropních konstrukcích. V jednotlivých místnostech jsou osazeny jednofázové zásuvky pro připojení drobných elektrospotřebičů.</w:t>
      </w:r>
    </w:p>
    <w:p w14:paraId="06932292" w14:textId="77777777" w:rsidR="008955EB" w:rsidRPr="00873C18" w:rsidRDefault="008955EB" w:rsidP="003053C2">
      <w:pPr>
        <w:tabs>
          <w:tab w:val="clear" w:pos="284"/>
        </w:tabs>
        <w:jc w:val="both"/>
        <w:rPr>
          <w:rFonts w:cs="Arial"/>
        </w:rPr>
      </w:pPr>
    </w:p>
    <w:p w14:paraId="4D573CF5" w14:textId="77777777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Zhodnocení stávajícího stavebně technického stavu.</w:t>
      </w:r>
    </w:p>
    <w:p w14:paraId="20E6F1EE" w14:textId="67093333" w:rsidR="003053C2" w:rsidRPr="00873C18" w:rsidRDefault="003053C2" w:rsidP="00DD7654">
      <w:pPr>
        <w:ind w:left="0" w:firstLine="0"/>
        <w:jc w:val="both"/>
      </w:pPr>
      <w:r w:rsidRPr="00873C18">
        <w:tab/>
        <w:t xml:space="preserve">Nosné konstrukce nevykazují žádné poruchy. </w:t>
      </w:r>
    </w:p>
    <w:p w14:paraId="52C191F5" w14:textId="66FE2B81" w:rsidR="003053C2" w:rsidRPr="00873C18" w:rsidRDefault="003053C2" w:rsidP="00DD7654">
      <w:pPr>
        <w:ind w:left="0" w:firstLine="0"/>
        <w:jc w:val="both"/>
      </w:pPr>
      <w:r w:rsidRPr="00873C18">
        <w:tab/>
        <w:t xml:space="preserve">Ve zdivu nebyly objeveny statické poruchy. </w:t>
      </w:r>
    </w:p>
    <w:p w14:paraId="6629FB7D" w14:textId="3FD7D6FE" w:rsidR="003053C2" w:rsidRPr="00873C18" w:rsidRDefault="003053C2" w:rsidP="00DD7654">
      <w:pPr>
        <w:ind w:left="0" w:firstLine="0"/>
        <w:jc w:val="both"/>
      </w:pPr>
      <w:r w:rsidRPr="00873C18">
        <w:tab/>
        <w:t>Stav objektu odpovídá jeho stáří a charakteru údržby.</w:t>
      </w:r>
    </w:p>
    <w:p w14:paraId="62800EC3" w14:textId="77777777" w:rsidR="007C26FE" w:rsidRPr="00873C18" w:rsidRDefault="007C26FE">
      <w:pPr>
        <w:pStyle w:val="Zkladntext"/>
        <w:jc w:val="both"/>
      </w:pPr>
    </w:p>
    <w:p w14:paraId="65C32C33" w14:textId="77777777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Napojení na dopravní a technickou infrastrukturu.</w:t>
      </w:r>
    </w:p>
    <w:p w14:paraId="0B8386CF" w14:textId="19FA7FE4" w:rsidR="007C26FE" w:rsidRPr="00873C18" w:rsidRDefault="00BF198A">
      <w:pPr>
        <w:ind w:left="0" w:firstLine="0"/>
        <w:jc w:val="both"/>
        <w:rPr>
          <w:lang w:eastAsia="cs-CZ"/>
        </w:rPr>
      </w:pPr>
      <w:r w:rsidRPr="00873C18">
        <w:tab/>
      </w:r>
      <w:r w:rsidRPr="00873C18">
        <w:rPr>
          <w:lang w:eastAsia="cs-CZ"/>
        </w:rPr>
        <w:t xml:space="preserve">Objekt je přístupný po </w:t>
      </w:r>
      <w:r w:rsidR="00092BF8" w:rsidRPr="00873C18">
        <w:rPr>
          <w:lang w:eastAsia="cs-CZ"/>
        </w:rPr>
        <w:t>místní komunikaci po ulici Burianova</w:t>
      </w:r>
      <w:r w:rsidRPr="00873C18">
        <w:rPr>
          <w:lang w:eastAsia="cs-CZ"/>
        </w:rPr>
        <w:t xml:space="preserve"> </w:t>
      </w:r>
    </w:p>
    <w:p w14:paraId="4FD7645A" w14:textId="77777777" w:rsidR="007C26FE" w:rsidRPr="00873C18" w:rsidRDefault="00BF198A">
      <w:pPr>
        <w:ind w:left="0" w:firstLine="0"/>
        <w:jc w:val="both"/>
      </w:pPr>
      <w:r w:rsidRPr="00873C18">
        <w:tab/>
        <w:t xml:space="preserve">Objekt je napojen na veřejnou elektrickou rozvodnou síť. </w:t>
      </w:r>
    </w:p>
    <w:p w14:paraId="1531B088" w14:textId="12993F44" w:rsidR="007C26FE" w:rsidRPr="00873C18" w:rsidRDefault="00BF198A">
      <w:pPr>
        <w:ind w:left="0" w:firstLine="0"/>
        <w:jc w:val="both"/>
      </w:pPr>
      <w:r w:rsidRPr="00873C18">
        <w:tab/>
        <w:t xml:space="preserve">Objekt je na pojen na veřejný vodovod a splaškovou kanalizaci. </w:t>
      </w:r>
    </w:p>
    <w:p w14:paraId="2E4E1119" w14:textId="77777777" w:rsidR="007C26FE" w:rsidRPr="00873C18" w:rsidRDefault="007C26FE">
      <w:pPr>
        <w:pStyle w:val="Zkladntext"/>
        <w:jc w:val="both"/>
      </w:pPr>
    </w:p>
    <w:p w14:paraId="03F2AEB3" w14:textId="77777777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Ochranná a bezpečnostní pásma.</w:t>
      </w:r>
    </w:p>
    <w:p w14:paraId="47A65A5A" w14:textId="0D11FB6A" w:rsidR="007C26FE" w:rsidRPr="00873C18" w:rsidRDefault="00BF198A" w:rsidP="00D26E2C">
      <w:pPr>
        <w:ind w:left="0" w:firstLine="0"/>
        <w:jc w:val="both"/>
      </w:pPr>
      <w:r w:rsidRPr="00873C18">
        <w:tab/>
      </w:r>
      <w:r w:rsidR="00D26E2C" w:rsidRPr="00873C18">
        <w:t>Nebyla při prohlídce zjištěna</w:t>
      </w:r>
    </w:p>
    <w:p w14:paraId="53E50BFB" w14:textId="77777777" w:rsidR="007C26FE" w:rsidRPr="00873C18" w:rsidRDefault="007C26FE">
      <w:pPr>
        <w:pStyle w:val="Zkladntext"/>
        <w:jc w:val="both"/>
      </w:pPr>
    </w:p>
    <w:p w14:paraId="15097B7F" w14:textId="77777777" w:rsidR="007C26FE" w:rsidRPr="00873C18" w:rsidRDefault="00BF198A" w:rsidP="00066C89">
      <w:pPr>
        <w:pStyle w:val="Nadpis4"/>
        <w:numPr>
          <w:ilvl w:val="3"/>
          <w:numId w:val="3"/>
        </w:numPr>
        <w:jc w:val="both"/>
      </w:pPr>
      <w:r w:rsidRPr="00873C18">
        <w:t>Vliv stavby na životní prostředí a ochrana zvláštních zájmů.</w:t>
      </w:r>
    </w:p>
    <w:p w14:paraId="27D36C6A" w14:textId="77777777" w:rsidR="007C26FE" w:rsidRPr="00873C18" w:rsidRDefault="00BF198A">
      <w:pPr>
        <w:ind w:left="0" w:firstLine="0"/>
        <w:jc w:val="both"/>
        <w:rPr>
          <w:lang w:eastAsia="cs-CZ"/>
        </w:rPr>
      </w:pPr>
      <w:r w:rsidRPr="00873C18">
        <w:rPr>
          <w:rFonts w:cs="Arial"/>
          <w:szCs w:val="20"/>
        </w:rPr>
        <w:tab/>
      </w:r>
      <w:r w:rsidRPr="00873C18">
        <w:rPr>
          <w:lang w:eastAsia="cs-CZ"/>
        </w:rPr>
        <w:t>Stavba nemá negativní vliv na životní prostředí.</w:t>
      </w:r>
    </w:p>
    <w:p w14:paraId="74F2D79A" w14:textId="77777777" w:rsidR="007C26FE" w:rsidRPr="00873C18" w:rsidRDefault="007C26FE">
      <w:pPr>
        <w:tabs>
          <w:tab w:val="clear" w:pos="284"/>
        </w:tabs>
        <w:spacing w:after="200" w:line="276" w:lineRule="auto"/>
        <w:ind w:left="0" w:firstLine="0"/>
        <w:jc w:val="both"/>
        <w:rPr>
          <w:lang w:eastAsia="cs-CZ"/>
        </w:rPr>
      </w:pPr>
    </w:p>
    <w:sectPr w:rsidR="007C26FE" w:rsidRPr="00873C18">
      <w:headerReference w:type="default" r:id="rId8"/>
      <w:footerReference w:type="default" r:id="rId9"/>
      <w:pgSz w:w="11906" w:h="16838"/>
      <w:pgMar w:top="454" w:right="567" w:bottom="511" w:left="567" w:header="142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AB071" w14:textId="77777777" w:rsidR="00BF198A" w:rsidRDefault="00BF198A">
      <w:r>
        <w:separator/>
      </w:r>
    </w:p>
  </w:endnote>
  <w:endnote w:type="continuationSeparator" w:id="0">
    <w:p w14:paraId="3E7F9D71" w14:textId="77777777" w:rsidR="00BF198A" w:rsidRDefault="00BF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9467324"/>
      <w:docPartObj>
        <w:docPartGallery w:val="Page Numbers (Top of Page)"/>
        <w:docPartUnique/>
      </w:docPartObj>
    </w:sdtPr>
    <w:sdtEndPr/>
    <w:sdtContent>
      <w:p w14:paraId="45A825D7" w14:textId="77777777" w:rsidR="007C26FE" w:rsidRDefault="00BF198A">
        <w:pPr>
          <w:pStyle w:val="Zpat"/>
          <w:jc w:val="center"/>
          <w:rPr>
            <w:sz w:val="16"/>
            <w:szCs w:val="16"/>
          </w:rPr>
        </w:pPr>
        <w:r>
          <w:rPr>
            <w:noProof/>
            <w:sz w:val="16"/>
            <w:szCs w:val="16"/>
          </w:rPr>
          <mc:AlternateContent>
            <mc:Choice Requires="wps">
              <w:drawing>
                <wp:anchor distT="0" distB="0" distL="0" distR="0" simplePos="0" relativeHeight="251656192" behindDoc="1" locked="0" layoutInCell="1" allowOverlap="1" wp14:anchorId="184072CA" wp14:editId="7B806BD9">
                  <wp:simplePos x="0" y="0"/>
                  <wp:positionH relativeFrom="margin">
                    <wp:align>center</wp:align>
                  </wp:positionH>
                  <wp:positionV relativeFrom="paragraph">
                    <wp:posOffset>41910</wp:posOffset>
                  </wp:positionV>
                  <wp:extent cx="6840855" cy="36830"/>
                  <wp:effectExtent l="0" t="0" r="0" b="2540"/>
                  <wp:wrapNone/>
                  <wp:docPr id="3" name="Vývojový diagram: rozhodnutí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840360" cy="36360"/>
                          </a:xfrm>
                          <a:prstGeom prst="flowChartDecisi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15B83DD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Vývojový diagram: rozhodnutí 3" o:spid="_x0000_s1026" type="#_x0000_t110" style="position:absolute;margin-left:0;margin-top:3.3pt;width:538.65pt;height:2.9pt;z-index:-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nNjugEAALEDAAAOAAAAZHJzL2Uyb0RvYy54bWysU8GO0zAQvSPxD5bv1GkXqlXUdA9bLRcE&#10;iGU/wOuMGwvbY9mmaf+esRPSBcQFkcNkPJ558+Zlsrs7O8tOEJNB3/H1quEMvMLe+GPHn74+vLnl&#10;LGXpe2nRQ8cvkPjd/vWr3Rha2OCAtofICMSndgwdH3IOrRBJDeBkWmEAT5cao5OZjvEo+ihHQndW&#10;bJpmK0aMfYioICWKHqZLvq/4WoPKn7ROkJntOHHL1cZqn4sV+51sj1GGwaiZhvwHFk4aT00XqIPM&#10;kn2P5g8oZ1TEhDqvFDqBWhsFdQaaZt38Ns3jIAPUWUicFBaZ0v+DVR9Pj+FzJBnGkNpEbpnirKMr&#10;b+LHzlWsyyIWnDNTFNzevm1utqSporubbXEJRVyLQ0z5PaBjxem4tjjeDzLmAyhT1qXqJU8fUp7q&#10;fuaXxtYX6/HBWDvdloi4cqxevliYsr+AZqYnVpuKWtcH7m1kJ0kfvv+2nsKD7GEKvWvomQkv2ZW+&#10;9QRWUDX1XnBngLKWv+JO7ObcUgZ165bC5m+EpsIlu3ZEn5dCZzzGyvDFrMV9xv5Sv1iVg/ai0p53&#10;uCzey3MV7fqn7X8AAAD//wMAUEsDBBQABgAIAAAAIQBPYzr+2wAAAAYBAAAPAAAAZHJzL2Rvd25y&#10;ZXYueG1sTI/BTsMwEETvSPyDtUjcqE2LUhTiVAiJAycg5cJtGy9OaLwOttsmf497gtuOZjTzttpM&#10;bhBHCrH3rOF2oUAQt970bDV8bJ9v7kHEhGxw8EwaZoqwqS8vKiyNP/E7HZtkRS7hWKKGLqWxlDK2&#10;HTmMCz8SZ+/LB4cpy2ClCXjK5W6QS6UK6bDnvNDhSE8dtfvm4DTE7+1LPzdznNXrZ/tj93YVpjet&#10;r6+mxwcQiab0F4YzfkaHOjPt/IFNFIOG/EjSUBQgzqZar1cgdvla3oGsK/kfv/4FAAD//wMAUEsB&#10;Ai0AFAAGAAgAAAAhALaDOJL+AAAA4QEAABMAAAAAAAAAAAAAAAAAAAAAAFtDb250ZW50X1R5cGVz&#10;XS54bWxQSwECLQAUAAYACAAAACEAOP0h/9YAAACUAQAACwAAAAAAAAAAAAAAAAAvAQAAX3JlbHMv&#10;LnJlbHNQSwECLQAUAAYACAAAACEA/QpzY7oBAACxAwAADgAAAAAAAAAAAAAAAAAuAgAAZHJzL2Uy&#10;b0RvYy54bWxQSwECLQAUAAYACAAAACEAT2M6/tsAAAAGAQAADwAAAAAAAAAAAAAAAAAUBAAAZHJz&#10;L2Rvd25yZXYueG1sUEsFBgAAAAAEAAQA8wAAABwFAAAAAA==&#10;" fillcolor="black [3200]" stroked="f" strokeweight="2pt">
                  <w10:wrap anchorx="margin"/>
                </v:shape>
              </w:pict>
            </mc:Fallback>
          </mc:AlternateContent>
        </w:r>
      </w:p>
      <w:p w14:paraId="5EC07FF2" w14:textId="77777777" w:rsidR="007C26FE" w:rsidRDefault="00BF198A">
        <w:pPr>
          <w:pStyle w:val="Zpat"/>
          <w:jc w:val="center"/>
        </w:pPr>
        <w:r>
          <w:rPr>
            <w:sz w:val="16"/>
            <w:szCs w:val="16"/>
          </w:rPr>
          <w:t xml:space="preserve">Stránka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FDEC3" w14:textId="77777777" w:rsidR="00BF198A" w:rsidRDefault="00BF198A">
      <w:r>
        <w:separator/>
      </w:r>
    </w:p>
  </w:footnote>
  <w:footnote w:type="continuationSeparator" w:id="0">
    <w:p w14:paraId="27DD79A3" w14:textId="77777777" w:rsidR="00BF198A" w:rsidRDefault="00BF1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945B1" w14:textId="77777777" w:rsidR="007C26FE" w:rsidRDefault="007C26FE">
    <w:pPr>
      <w:pStyle w:val="Zhlav"/>
      <w:ind w:firstLine="0"/>
      <w:rPr>
        <w:sz w:val="12"/>
        <w:szCs w:val="12"/>
        <w:lang w:eastAsia="cs-CZ"/>
      </w:rPr>
    </w:pPr>
  </w:p>
  <w:p w14:paraId="5DD380B9" w14:textId="7EAB490E" w:rsidR="007C26FE" w:rsidRPr="00B61430" w:rsidRDefault="00BF198A" w:rsidP="00B61430">
    <w:pPr>
      <w:pStyle w:val="Zhlav"/>
      <w:ind w:firstLine="0"/>
      <w:rPr>
        <w:sz w:val="16"/>
        <w:szCs w:val="12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7C65237" wp14:editId="48D6E74B">
          <wp:simplePos x="0" y="0"/>
          <wp:positionH relativeFrom="margin">
            <wp:align>right</wp:align>
          </wp:positionH>
          <wp:positionV relativeFrom="paragraph">
            <wp:posOffset>100083</wp:posOffset>
          </wp:positionV>
          <wp:extent cx="1031240" cy="218440"/>
          <wp:effectExtent l="0" t="0" r="0" b="0"/>
          <wp:wrapNone/>
          <wp:docPr id="2" name="Obrázek 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218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1430">
      <w:t>Pasportizace</w:t>
    </w:r>
    <w:r w:rsidR="00B61430" w:rsidRPr="0092786D">
      <w:t xml:space="preserve"> </w:t>
    </w:r>
    <w:r w:rsidR="00B61430">
      <w:t>BD Burianova 1070/</w:t>
    </w:r>
    <w:proofErr w:type="gramStart"/>
    <w:r w:rsidR="00B61430">
      <w:t>8b</w:t>
    </w:r>
    <w:proofErr w:type="gramEnd"/>
    <w:r w:rsidR="00B61430">
      <w:t>, Liberec</w:t>
    </w:r>
    <w:r w:rsidR="00B61430" w:rsidRPr="00DE4721">
      <w:rPr>
        <w:sz w:val="16"/>
        <w:szCs w:val="12"/>
      </w:rPr>
      <w:t xml:space="preserve"> </w:t>
    </w:r>
  </w:p>
  <w:p w14:paraId="15FE28DA" w14:textId="77777777" w:rsidR="007C26FE" w:rsidRDefault="00BF198A">
    <w:pPr>
      <w:pStyle w:val="Zhlav"/>
      <w:ind w:firstLine="0"/>
      <w:rPr>
        <w:sz w:val="16"/>
        <w:szCs w:val="12"/>
      </w:rPr>
    </w:pPr>
    <w:r>
      <w:rPr>
        <w:sz w:val="16"/>
        <w:szCs w:val="12"/>
      </w:rPr>
      <w:t>B – SOUHRNNÁ TECHNICKÁ ZPRÁVA</w:t>
    </w:r>
  </w:p>
  <w:p w14:paraId="5271FF66" w14:textId="77777777" w:rsidR="007C26FE" w:rsidRDefault="007C26FE">
    <w:pPr>
      <w:pStyle w:val="Zhlav"/>
      <w:ind w:firstLine="0"/>
      <w:rPr>
        <w:sz w:val="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84032"/>
    <w:multiLevelType w:val="hybridMultilevel"/>
    <w:tmpl w:val="8D10497A"/>
    <w:lvl w:ilvl="0" w:tplc="83969D06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5643D9"/>
    <w:multiLevelType w:val="hybridMultilevel"/>
    <w:tmpl w:val="DCD21B6A"/>
    <w:lvl w:ilvl="0" w:tplc="12B03B0E">
      <w:start w:val="4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3A00865"/>
    <w:multiLevelType w:val="multilevel"/>
    <w:tmpl w:val="5166478E"/>
    <w:lvl w:ilvl="0">
      <w:start w:val="1"/>
      <w:numFmt w:val="bullet"/>
      <w:suff w:val="space"/>
      <w:lvlText w:val=""/>
      <w:lvlJc w:val="left"/>
      <w:pPr>
        <w:ind w:left="397" w:hanging="113"/>
      </w:pPr>
      <w:rPr>
        <w:rFonts w:ascii="Symbol" w:hAnsi="Symbol" w:cs="Symbol" w:hint="default"/>
        <w:b/>
        <w:i w:val="0"/>
        <w:color w:val="auto"/>
        <w:sz w:val="20"/>
        <w:u w:val="no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0B17C3"/>
    <w:multiLevelType w:val="multilevel"/>
    <w:tmpl w:val="AA6EF3CE"/>
    <w:lvl w:ilvl="0">
      <w:start w:val="2"/>
      <w:numFmt w:val="upperLetter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18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lowerLetter"/>
      <w:suff w:val="space"/>
      <w:lvlText w:val="%4)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3D245066"/>
    <w:multiLevelType w:val="multilevel"/>
    <w:tmpl w:val="22F6A5E0"/>
    <w:lvl w:ilvl="0">
      <w:start w:val="1"/>
      <w:numFmt w:val="bullet"/>
      <w:suff w:val="space"/>
      <w:lvlText w:val="-"/>
      <w:lvlJc w:val="left"/>
      <w:pPr>
        <w:ind w:left="397" w:hanging="113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193C95"/>
    <w:multiLevelType w:val="multilevel"/>
    <w:tmpl w:val="02164C0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Calibri" w:hAnsi="Calibri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907" w:hanging="907"/>
      </w:pPr>
      <w:rPr>
        <w:rFonts w:asciiTheme="minorHAnsi" w:hAnsiTheme="minorHAnsi" w:hint="default"/>
      </w:rPr>
    </w:lvl>
    <w:lvl w:ilvl="2">
      <w:start w:val="1"/>
      <w:numFmt w:val="decimal"/>
      <w:suff w:val="space"/>
      <w:lvlText w:val="%1.%2.%3."/>
      <w:lvlJc w:val="left"/>
      <w:pPr>
        <w:ind w:left="1304" w:hanging="1304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%1.%2.%3.%4."/>
      <w:lvlJc w:val="left"/>
      <w:pPr>
        <w:ind w:left="2297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892661E"/>
    <w:multiLevelType w:val="multilevel"/>
    <w:tmpl w:val="B0BA4BD2"/>
    <w:lvl w:ilvl="0">
      <w:start w:val="2"/>
      <w:numFmt w:val="upperLetter"/>
      <w:pStyle w:val="Nadpis1"/>
      <w:suff w:val="space"/>
      <w:lvlText w:val="%1."/>
      <w:lvlJc w:val="left"/>
      <w:pPr>
        <w:ind w:left="0" w:firstLine="0"/>
      </w:pPr>
      <w:rPr>
        <w:b/>
        <w:i w:val="0"/>
        <w:color w:val="auto"/>
        <w:sz w:val="20"/>
        <w:u w:val="none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80" w:firstLine="0"/>
      </w:p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</w:lvl>
    <w:lvl w:ilvl="3">
      <w:start w:val="1"/>
      <w:numFmt w:val="lowerLetter"/>
      <w:pStyle w:val="Nadpis4"/>
      <w:suff w:val="space"/>
      <w:lvlText w:val="%4)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AB60749"/>
    <w:multiLevelType w:val="hybridMultilevel"/>
    <w:tmpl w:val="AA202FAE"/>
    <w:lvl w:ilvl="0" w:tplc="16D44B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45BB9"/>
    <w:multiLevelType w:val="multilevel"/>
    <w:tmpl w:val="324A9824"/>
    <w:lvl w:ilvl="0">
      <w:start w:val="1"/>
      <w:numFmt w:val="upperLetter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18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lowerLetter"/>
      <w:suff w:val="space"/>
      <w:lvlText w:val="%4)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 w16cid:durableId="130753315">
    <w:abstractNumId w:val="6"/>
  </w:num>
  <w:num w:numId="2" w16cid:durableId="1688017703">
    <w:abstractNumId w:val="3"/>
  </w:num>
  <w:num w:numId="3" w16cid:durableId="1679381265">
    <w:abstractNumId w:val="8"/>
  </w:num>
  <w:num w:numId="4" w16cid:durableId="2017077240">
    <w:abstractNumId w:val="2"/>
  </w:num>
  <w:num w:numId="5" w16cid:durableId="1517422724">
    <w:abstractNumId w:val="4"/>
  </w:num>
  <w:num w:numId="6" w16cid:durableId="2098743583">
    <w:abstractNumId w:val="5"/>
  </w:num>
  <w:num w:numId="7" w16cid:durableId="970937879">
    <w:abstractNumId w:val="7"/>
  </w:num>
  <w:num w:numId="8" w16cid:durableId="78645788">
    <w:abstractNumId w:val="1"/>
  </w:num>
  <w:num w:numId="9" w16cid:durableId="1375501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FE"/>
    <w:rsid w:val="00043A0D"/>
    <w:rsid w:val="00066C89"/>
    <w:rsid w:val="00092BF8"/>
    <w:rsid w:val="000A26F2"/>
    <w:rsid w:val="000A7AE9"/>
    <w:rsid w:val="00124006"/>
    <w:rsid w:val="001253FE"/>
    <w:rsid w:val="00134BE1"/>
    <w:rsid w:val="001454D0"/>
    <w:rsid w:val="00146FA9"/>
    <w:rsid w:val="00151A02"/>
    <w:rsid w:val="001C2F03"/>
    <w:rsid w:val="001D20B9"/>
    <w:rsid w:val="00216FBB"/>
    <w:rsid w:val="00235830"/>
    <w:rsid w:val="00270FCE"/>
    <w:rsid w:val="00283CB7"/>
    <w:rsid w:val="002E46BE"/>
    <w:rsid w:val="002E7A01"/>
    <w:rsid w:val="003053C2"/>
    <w:rsid w:val="00362773"/>
    <w:rsid w:val="003A207C"/>
    <w:rsid w:val="004071CD"/>
    <w:rsid w:val="004D5F31"/>
    <w:rsid w:val="00513C09"/>
    <w:rsid w:val="005A3FD8"/>
    <w:rsid w:val="006122EC"/>
    <w:rsid w:val="00623976"/>
    <w:rsid w:val="006858D4"/>
    <w:rsid w:val="006B1273"/>
    <w:rsid w:val="006F620D"/>
    <w:rsid w:val="00703E14"/>
    <w:rsid w:val="00723A44"/>
    <w:rsid w:val="00764EFA"/>
    <w:rsid w:val="00791416"/>
    <w:rsid w:val="007C26FE"/>
    <w:rsid w:val="007C7765"/>
    <w:rsid w:val="007E64E5"/>
    <w:rsid w:val="00804AB1"/>
    <w:rsid w:val="00837271"/>
    <w:rsid w:val="00873C18"/>
    <w:rsid w:val="00887294"/>
    <w:rsid w:val="008955EB"/>
    <w:rsid w:val="008A7427"/>
    <w:rsid w:val="00957438"/>
    <w:rsid w:val="00960AA0"/>
    <w:rsid w:val="0096505D"/>
    <w:rsid w:val="00A722D8"/>
    <w:rsid w:val="00AF06BC"/>
    <w:rsid w:val="00B61430"/>
    <w:rsid w:val="00B87373"/>
    <w:rsid w:val="00BF198A"/>
    <w:rsid w:val="00BF5D15"/>
    <w:rsid w:val="00C84ECF"/>
    <w:rsid w:val="00CD586F"/>
    <w:rsid w:val="00CF1F86"/>
    <w:rsid w:val="00D14304"/>
    <w:rsid w:val="00D2183A"/>
    <w:rsid w:val="00D26E2C"/>
    <w:rsid w:val="00D27ADA"/>
    <w:rsid w:val="00DC050A"/>
    <w:rsid w:val="00DD7654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3AA3"/>
  <w15:docId w15:val="{D2EFD2F2-9A10-4577-A1F4-DFCC4420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135"/>
    <w:pPr>
      <w:tabs>
        <w:tab w:val="left" w:pos="284"/>
      </w:tabs>
      <w:ind w:left="284" w:firstLine="284"/>
    </w:pPr>
  </w:style>
  <w:style w:type="paragraph" w:styleId="Nadpis1">
    <w:name w:val="heading 1"/>
    <w:aliases w:val="EA 1"/>
    <w:basedOn w:val="Normln"/>
    <w:next w:val="Nadpis2"/>
    <w:link w:val="Nadpis1Char"/>
    <w:uiPriority w:val="9"/>
    <w:qFormat/>
    <w:rsid w:val="00C65C25"/>
    <w:pPr>
      <w:keepNext/>
      <w:keepLines/>
      <w:numPr>
        <w:numId w:val="1"/>
      </w:numPr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aliases w:val="EA 2"/>
    <w:basedOn w:val="Nadpis1"/>
    <w:next w:val="Nadpis3"/>
    <w:link w:val="Nadpis2Char"/>
    <w:unhideWhenUsed/>
    <w:qFormat/>
    <w:rsid w:val="00C65C25"/>
    <w:pPr>
      <w:numPr>
        <w:ilvl w:val="1"/>
      </w:numPr>
      <w:ind w:left="0" w:firstLine="284"/>
      <w:outlineLvl w:val="1"/>
    </w:pPr>
    <w:rPr>
      <w:sz w:val="24"/>
      <w:szCs w:val="26"/>
    </w:rPr>
  </w:style>
  <w:style w:type="paragraph" w:styleId="Nadpis3">
    <w:name w:val="heading 3"/>
    <w:basedOn w:val="Nadpis2"/>
    <w:next w:val="Nadpis4"/>
    <w:link w:val="Nadpis3Char"/>
    <w:uiPriority w:val="9"/>
    <w:unhideWhenUsed/>
    <w:qFormat/>
    <w:rsid w:val="00C65C25"/>
    <w:pPr>
      <w:numPr>
        <w:ilvl w:val="2"/>
      </w:numPr>
      <w:outlineLvl w:val="2"/>
    </w:pPr>
    <w:rPr>
      <w:sz w:val="22"/>
      <w:szCs w:val="24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C65C25"/>
    <w:pPr>
      <w:numPr>
        <w:ilvl w:val="3"/>
      </w:numPr>
      <w:outlineLvl w:val="3"/>
    </w:pPr>
    <w:rPr>
      <w:iCs/>
      <w:sz w:val="20"/>
    </w:r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8D6D93"/>
    <w:pPr>
      <w:numPr>
        <w:ilvl w:val="0"/>
      </w:numPr>
      <w:outlineLvl w:val="4"/>
    </w:pPr>
    <w:rPr>
      <w:b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A 1 Char"/>
    <w:basedOn w:val="Standardnpsmoodstavce"/>
    <w:link w:val="Nadpis1"/>
    <w:uiPriority w:val="9"/>
    <w:qFormat/>
    <w:rsid w:val="00C65C25"/>
    <w:rPr>
      <w:rFonts w:ascii="Calibri" w:eastAsiaTheme="majorEastAsia" w:hAnsi="Calibri" w:cstheme="majorBidi"/>
      <w:b/>
      <w:sz w:val="28"/>
      <w:szCs w:val="32"/>
    </w:rPr>
  </w:style>
  <w:style w:type="character" w:customStyle="1" w:styleId="Nadpis2Char">
    <w:name w:val="Nadpis 2 Char"/>
    <w:aliases w:val="EA 2 Char"/>
    <w:basedOn w:val="Standardnpsmoodstavce"/>
    <w:link w:val="Nadpis2"/>
    <w:uiPriority w:val="9"/>
    <w:qFormat/>
    <w:rsid w:val="00C65C25"/>
    <w:rPr>
      <w:rFonts w:ascii="Calibri" w:eastAsiaTheme="majorEastAsia" w:hAnsi="Calibri" w:cstheme="majorBidi"/>
      <w:b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C65C25"/>
    <w:rPr>
      <w:rFonts w:ascii="Calibri" w:eastAsiaTheme="majorEastAsia" w:hAnsi="Calibri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C65C25"/>
    <w:rPr>
      <w:rFonts w:ascii="Calibri" w:eastAsiaTheme="majorEastAsia" w:hAnsi="Calibri" w:cstheme="majorBidi"/>
      <w:b/>
      <w:iCs/>
      <w:sz w:val="20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8D6D93"/>
    <w:rPr>
      <w:rFonts w:ascii="Calibri" w:eastAsiaTheme="majorEastAsia" w:hAnsi="Calibri" w:cstheme="majorBidi"/>
      <w:iCs/>
      <w:sz w:val="20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992C2C"/>
    <w:rPr>
      <w:rFonts w:ascii="Calibri" w:hAnsi="Calibri"/>
      <w:b/>
      <w:i/>
      <w:sz w:val="2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7C306D"/>
    <w:rPr>
      <w:rFonts w:ascii="Calibri" w:hAnsi="Calibri"/>
      <w:sz w:val="10"/>
    </w:rPr>
  </w:style>
  <w:style w:type="character" w:customStyle="1" w:styleId="Internetovodkaz">
    <w:name w:val="Internetový odkaz"/>
    <w:rsid w:val="005B7ED0"/>
    <w:rPr>
      <w:color w:val="0000FF"/>
      <w:u w:val="single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E6698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48063C"/>
    <w:rPr>
      <w:rFonts w:ascii="Calibri" w:hAnsi="Calibri"/>
      <w:sz w:val="20"/>
    </w:rPr>
  </w:style>
  <w:style w:type="character" w:customStyle="1" w:styleId="ZpatChar">
    <w:name w:val="Zápatí Char"/>
    <w:basedOn w:val="Standardnpsmoodstavce"/>
    <w:link w:val="Zpat"/>
    <w:uiPriority w:val="99"/>
    <w:qFormat/>
    <w:rsid w:val="0048063C"/>
    <w:rPr>
      <w:rFonts w:ascii="Calibri" w:hAnsi="Calibri"/>
      <w:sz w:val="20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qFormat/>
    <w:locked/>
    <w:rsid w:val="004E20F4"/>
    <w:rPr>
      <w:rFonts w:ascii="Calibri" w:hAnsi="Calibri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2938F0"/>
    <w:rPr>
      <w:rFonts w:ascii="Calibri" w:hAnsi="Calibri"/>
      <w:sz w:val="20"/>
    </w:rPr>
  </w:style>
  <w:style w:type="character" w:customStyle="1" w:styleId="NzevChar">
    <w:name w:val="Název Char"/>
    <w:basedOn w:val="Standardnpsmoodstavce"/>
    <w:link w:val="Nzev"/>
    <w:uiPriority w:val="10"/>
    <w:qFormat/>
    <w:rsid w:val="008B21CD"/>
    <w:rPr>
      <w:rFonts w:ascii="Calibri" w:eastAsiaTheme="majorEastAsia" w:hAnsi="Calibri" w:cstheme="majorBidi"/>
      <w:b/>
      <w:spacing w:val="5"/>
      <w:kern w:val="2"/>
      <w:sz w:val="20"/>
      <w:szCs w:val="52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90A91"/>
    <w:rPr>
      <w:rFonts w:ascii="Tahoma" w:hAnsi="Tahoma" w:cs="Tahoma"/>
      <w:sz w:val="16"/>
      <w:szCs w:val="16"/>
    </w:rPr>
  </w:style>
  <w:style w:type="character" w:customStyle="1" w:styleId="h1a">
    <w:name w:val="h1a"/>
    <w:basedOn w:val="Standardnpsmoodstavce"/>
    <w:qFormat/>
    <w:rsid w:val="003D34B5"/>
  </w:style>
  <w:style w:type="character" w:styleId="PromnnHTML">
    <w:name w:val="HTML Variable"/>
    <w:basedOn w:val="Standardnpsmoodstavce"/>
    <w:uiPriority w:val="99"/>
    <w:semiHidden/>
    <w:unhideWhenUsed/>
    <w:qFormat/>
    <w:rsid w:val="0046698A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BC0699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A65E06"/>
    <w:rPr>
      <w:b/>
      <w:bCs/>
    </w:rPr>
  </w:style>
  <w:style w:type="character" w:customStyle="1" w:styleId="EA5Char">
    <w:name w:val="EA 5 Char"/>
    <w:basedOn w:val="Standardnpsmoodstavce"/>
    <w:link w:val="EA5"/>
    <w:qFormat/>
    <w:locked/>
    <w:rsid w:val="00144155"/>
    <w:rPr>
      <w:rFonts w:eastAsia="Times New Roman" w:cs="Times New Roman"/>
      <w:b/>
      <w:sz w:val="20"/>
      <w:u w:val="single"/>
    </w:rPr>
  </w:style>
  <w:style w:type="character" w:customStyle="1" w:styleId="EAMezeryChar">
    <w:name w:val="EA_Mezery Char"/>
    <w:basedOn w:val="Standardnpsmoodstavce"/>
    <w:link w:val="EAMezery"/>
    <w:qFormat/>
    <w:rsid w:val="00144155"/>
    <w:rPr>
      <w:rFonts w:ascii="Calibri" w:eastAsia="Times New Roman" w:hAnsi="Calibri" w:cs="Times New Roman"/>
      <w:sz w:val="10"/>
      <w:lang w:eastAsia="cs-CZ"/>
    </w:rPr>
  </w:style>
  <w:style w:type="character" w:customStyle="1" w:styleId="EAPoznmkyChar">
    <w:name w:val="EA_Poznámky Char"/>
    <w:link w:val="EAPoznmky"/>
    <w:qFormat/>
    <w:rsid w:val="00144155"/>
    <w:rPr>
      <w:rFonts w:ascii="Calibri" w:eastAsia="Calibri" w:hAnsi="Calibri" w:cs="Arial Narrow"/>
      <w:i/>
      <w:sz w:val="14"/>
      <w:szCs w:val="16"/>
    </w:rPr>
  </w:style>
  <w:style w:type="character" w:customStyle="1" w:styleId="EANadpistabulkaChar">
    <w:name w:val="EA_Nadpis tabulka Char"/>
    <w:basedOn w:val="Standardnpsmoodstavce"/>
    <w:link w:val="EANadpistabulka"/>
    <w:qFormat/>
    <w:locked/>
    <w:rsid w:val="00144155"/>
    <w:rPr>
      <w:rFonts w:ascii="Calibri" w:eastAsia="SimSun" w:hAnsi="Calibri" w:cs="Arial"/>
      <w:i/>
      <w:sz w:val="18"/>
      <w:szCs w:val="20"/>
      <w:lang w:eastAsia="cs-CZ"/>
    </w:rPr>
  </w:style>
  <w:style w:type="character" w:customStyle="1" w:styleId="EATexttabulkyChar">
    <w:name w:val="EA_Text tabulky Char"/>
    <w:link w:val="EATexttabulky"/>
    <w:qFormat/>
    <w:locked/>
    <w:rsid w:val="00782845"/>
    <w:rPr>
      <w:rFonts w:ascii="Calibri" w:eastAsia="Times New Roman" w:hAnsi="Calibri" w:cs="Times New Roman"/>
      <w:sz w:val="16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70012"/>
    <w:rPr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70012"/>
    <w:rPr>
      <w:rFonts w:ascii="Calibri" w:hAnsi="Calibri"/>
      <w:b/>
      <w:bCs/>
      <w:i w:val="0"/>
      <w:sz w:val="20"/>
      <w:szCs w:val="20"/>
      <w:u w:val="single"/>
    </w:rPr>
  </w:style>
  <w:style w:type="character" w:customStyle="1" w:styleId="EA3Char">
    <w:name w:val="EA 3 Char"/>
    <w:basedOn w:val="Standardnpsmoodstavce"/>
    <w:link w:val="EA3"/>
    <w:qFormat/>
    <w:rsid w:val="00255DE7"/>
    <w:rPr>
      <w:rFonts w:ascii="Calibri" w:eastAsia="SimSun" w:hAnsi="Calibri" w:cs="Arial"/>
      <w:b/>
      <w:sz w:val="20"/>
      <w:szCs w:val="20"/>
      <w:lang w:eastAsia="cs-CZ"/>
    </w:rPr>
  </w:style>
  <w:style w:type="character" w:customStyle="1" w:styleId="ListLabel1">
    <w:name w:val="ListLabel 1"/>
    <w:qFormat/>
    <w:rPr>
      <w:color w:val="auto"/>
      <w:spacing w:val="0"/>
      <w:sz w:val="28"/>
    </w:rPr>
  </w:style>
  <w:style w:type="character" w:customStyle="1" w:styleId="ListLabel2">
    <w:name w:val="ListLabel 2"/>
    <w:qFormat/>
    <w:rPr>
      <w:b/>
      <w:i w:val="0"/>
      <w:color w:val="auto"/>
      <w:sz w:val="20"/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eastAsia="Calibri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  <w:sz w:val="24"/>
    </w:rPr>
  </w:style>
  <w:style w:type="character" w:customStyle="1" w:styleId="ListLabel14">
    <w:name w:val="ListLabel 14"/>
    <w:qFormat/>
    <w:rPr>
      <w:rFonts w:eastAsia="Times New Roman" w:cs="Aria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next w:val="Seznam"/>
    <w:link w:val="ZkladntextChar"/>
    <w:uiPriority w:val="99"/>
    <w:unhideWhenUsed/>
    <w:qFormat/>
    <w:rsid w:val="007C306D"/>
    <w:pPr>
      <w:ind w:left="0" w:firstLine="0"/>
    </w:pPr>
    <w:rPr>
      <w:sz w:val="10"/>
    </w:rPr>
  </w:style>
  <w:style w:type="paragraph" w:styleId="Seznam">
    <w:name w:val="List"/>
    <w:basedOn w:val="Zkladntext"/>
    <w:rsid w:val="00935946"/>
    <w:pPr>
      <w:tabs>
        <w:tab w:val="clear" w:pos="284"/>
      </w:tabs>
      <w:suppressAutoHyphens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976D8C"/>
    <w:pPr>
      <w:ind w:left="720"/>
      <w:contextualSpacing/>
    </w:pPr>
  </w:style>
  <w:style w:type="paragraph" w:styleId="Bezmezer">
    <w:name w:val="No Spacing"/>
    <w:basedOn w:val="Normln"/>
    <w:next w:val="Normln"/>
    <w:uiPriority w:val="1"/>
    <w:qFormat/>
    <w:rsid w:val="00621F14"/>
    <w:pPr>
      <w:ind w:firstLine="0"/>
    </w:pPr>
    <w:rPr>
      <w:i/>
      <w:sz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992C2C"/>
    <w:pPr>
      <w:ind w:left="0"/>
    </w:pPr>
    <w:rPr>
      <w:b/>
      <w:i/>
      <w:szCs w:val="20"/>
      <w:u w:val="single"/>
    </w:rPr>
  </w:style>
  <w:style w:type="paragraph" w:styleId="Zkladntextodsazen2">
    <w:name w:val="Body Text Indent 2"/>
    <w:basedOn w:val="Normln"/>
    <w:link w:val="Zkladntextodsazen2Char"/>
    <w:qFormat/>
    <w:rsid w:val="00E6698E"/>
    <w:pPr>
      <w:tabs>
        <w:tab w:val="clear" w:pos="284"/>
      </w:tabs>
      <w:spacing w:after="120" w:line="480" w:lineRule="auto"/>
      <w:ind w:left="283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063C"/>
    <w:pPr>
      <w:tabs>
        <w:tab w:val="clear" w:pos="284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48063C"/>
    <w:pPr>
      <w:tabs>
        <w:tab w:val="clear" w:pos="284"/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2938F0"/>
    <w:pPr>
      <w:spacing w:after="120"/>
      <w:ind w:left="283"/>
    </w:pPr>
  </w:style>
  <w:style w:type="paragraph" w:customStyle="1" w:styleId="Import7">
    <w:name w:val="Import 7"/>
    <w:qFormat/>
    <w:rsid w:val="00B972EA"/>
    <w:pPr>
      <w:tabs>
        <w:tab w:val="left" w:pos="349"/>
        <w:tab w:val="left" w:pos="1213"/>
        <w:tab w:val="left" w:pos="2077"/>
        <w:tab w:val="left" w:pos="2941"/>
        <w:tab w:val="left" w:pos="3805"/>
        <w:tab w:val="left" w:pos="4669"/>
        <w:tab w:val="left" w:pos="5533"/>
        <w:tab w:val="left" w:pos="6397"/>
        <w:tab w:val="left" w:pos="7261"/>
        <w:tab w:val="left" w:pos="8125"/>
      </w:tabs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Texttabulky">
    <w:name w:val="Text tabulky"/>
    <w:basedOn w:val="Normln"/>
    <w:qFormat/>
    <w:rsid w:val="00B972EA"/>
    <w:pPr>
      <w:tabs>
        <w:tab w:val="clear" w:pos="284"/>
        <w:tab w:val="left" w:pos="4536"/>
        <w:tab w:val="left" w:pos="5670"/>
        <w:tab w:val="left" w:pos="6237"/>
        <w:tab w:val="left" w:pos="6804"/>
        <w:tab w:val="left" w:pos="7371"/>
        <w:tab w:val="left" w:pos="7938"/>
        <w:tab w:val="left" w:pos="19845"/>
        <w:tab w:val="left" w:pos="20412"/>
        <w:tab w:val="left" w:pos="20979"/>
        <w:tab w:val="left" w:pos="21546"/>
        <w:tab w:val="left" w:pos="22113"/>
        <w:tab w:val="left" w:pos="22680"/>
      </w:tabs>
      <w:spacing w:after="60"/>
      <w:ind w:left="0" w:firstLine="0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B21CD"/>
    <w:pPr>
      <w:ind w:left="0" w:firstLine="0"/>
      <w:contextualSpacing/>
    </w:pPr>
    <w:rPr>
      <w:rFonts w:eastAsiaTheme="majorEastAsia" w:cstheme="majorBidi"/>
      <w:b/>
      <w:spacing w:val="5"/>
      <w:kern w:val="2"/>
      <w:szCs w:val="52"/>
      <w:u w:val="single"/>
    </w:rPr>
  </w:style>
  <w:style w:type="paragraph" w:styleId="Normlnodsazen">
    <w:name w:val="Normal Indent"/>
    <w:basedOn w:val="Normln"/>
    <w:next w:val="Normln"/>
    <w:uiPriority w:val="99"/>
    <w:unhideWhenUsed/>
    <w:qFormat/>
    <w:rsid w:val="008B21CD"/>
    <w:pPr>
      <w:ind w:left="0" w:firstLine="0"/>
    </w:pPr>
    <w:rPr>
      <w:sz w:val="10"/>
    </w:rPr>
  </w:style>
  <w:style w:type="paragraph" w:customStyle="1" w:styleId="Default">
    <w:name w:val="Default"/>
    <w:qFormat/>
    <w:rsid w:val="009D5165"/>
    <w:rPr>
      <w:rFonts w:ascii="Calibri" w:eastAsia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90A9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qFormat/>
    <w:rsid w:val="00C7682B"/>
    <w:pPr>
      <w:tabs>
        <w:tab w:val="clear" w:pos="284"/>
      </w:tabs>
      <w:spacing w:beforeAutospacing="1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qFormat/>
    <w:rsid w:val="0046698A"/>
    <w:pPr>
      <w:tabs>
        <w:tab w:val="clear" w:pos="284"/>
      </w:tabs>
      <w:spacing w:beforeAutospacing="1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normal">
    <w:name w:val="-wm-msonormal"/>
    <w:basedOn w:val="Normln"/>
    <w:qFormat/>
    <w:rsid w:val="00085707"/>
    <w:pPr>
      <w:tabs>
        <w:tab w:val="clear" w:pos="284"/>
      </w:tabs>
      <w:spacing w:beforeAutospacing="1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A5">
    <w:name w:val="EA 5"/>
    <w:basedOn w:val="Normln"/>
    <w:link w:val="EA5Char"/>
    <w:qFormat/>
    <w:rsid w:val="00144155"/>
    <w:pPr>
      <w:suppressAutoHyphens/>
      <w:ind w:left="0" w:firstLine="0"/>
    </w:pPr>
    <w:rPr>
      <w:rFonts w:eastAsia="Times New Roman" w:cs="Times New Roman"/>
      <w:b/>
      <w:u w:val="single"/>
    </w:rPr>
  </w:style>
  <w:style w:type="paragraph" w:customStyle="1" w:styleId="EAMezery">
    <w:name w:val="EA_Mezery"/>
    <w:basedOn w:val="Odstavecseseznamem"/>
    <w:link w:val="EAMezeryChar"/>
    <w:qFormat/>
    <w:rsid w:val="00144155"/>
    <w:pPr>
      <w:suppressAutoHyphens/>
      <w:ind w:left="0" w:firstLine="0"/>
    </w:pPr>
    <w:rPr>
      <w:rFonts w:eastAsia="Times New Roman" w:cs="Times New Roman"/>
      <w:sz w:val="10"/>
      <w:lang w:eastAsia="cs-CZ"/>
    </w:rPr>
  </w:style>
  <w:style w:type="paragraph" w:customStyle="1" w:styleId="EAPoznmky">
    <w:name w:val="EA_Poznámky"/>
    <w:basedOn w:val="Normln"/>
    <w:link w:val="EAPoznmkyChar"/>
    <w:qFormat/>
    <w:rsid w:val="00144155"/>
    <w:pPr>
      <w:suppressAutoHyphens/>
      <w:ind w:left="0" w:firstLine="0"/>
    </w:pPr>
    <w:rPr>
      <w:rFonts w:eastAsia="Calibri" w:cs="Arial Narrow"/>
      <w:i/>
      <w:sz w:val="14"/>
      <w:szCs w:val="16"/>
    </w:rPr>
  </w:style>
  <w:style w:type="paragraph" w:customStyle="1" w:styleId="EANadpistabulka">
    <w:name w:val="EA_Nadpis tabulka"/>
    <w:next w:val="Zkladntext"/>
    <w:link w:val="EANadpistabulkaChar"/>
    <w:qFormat/>
    <w:rsid w:val="00144155"/>
    <w:pPr>
      <w:keepNext/>
      <w:tabs>
        <w:tab w:val="left" w:pos="284"/>
      </w:tabs>
      <w:suppressAutoHyphens/>
      <w:jc w:val="center"/>
    </w:pPr>
    <w:rPr>
      <w:rFonts w:eastAsia="SimSun" w:cs="Arial"/>
      <w:i/>
      <w:sz w:val="18"/>
      <w:szCs w:val="20"/>
      <w:lang w:eastAsia="cs-CZ"/>
    </w:rPr>
  </w:style>
  <w:style w:type="paragraph" w:customStyle="1" w:styleId="EATexttabulky">
    <w:name w:val="EA_Text tabulky"/>
    <w:basedOn w:val="Normln"/>
    <w:next w:val="Zkladntext"/>
    <w:link w:val="EATexttabulkyChar"/>
    <w:qFormat/>
    <w:rsid w:val="00782845"/>
    <w:pPr>
      <w:suppressAutoHyphens/>
      <w:ind w:left="0" w:firstLine="0"/>
    </w:pPr>
    <w:rPr>
      <w:rFonts w:eastAsia="Times New Roman" w:cs="Times New Roman"/>
      <w:sz w:val="16"/>
      <w:szCs w:val="20"/>
      <w:lang w:eastAsia="cs-CZ"/>
    </w:rPr>
  </w:style>
  <w:style w:type="paragraph" w:customStyle="1" w:styleId="EA6">
    <w:name w:val="EA 6"/>
    <w:basedOn w:val="Normln"/>
    <w:qFormat/>
    <w:rsid w:val="00782845"/>
    <w:pPr>
      <w:tabs>
        <w:tab w:val="clear" w:pos="284"/>
      </w:tabs>
      <w:ind w:left="0" w:firstLine="0"/>
    </w:pPr>
    <w:rPr>
      <w:rFonts w:eastAsia="SimSun" w:cs="Arial"/>
      <w:b/>
      <w:szCs w:val="20"/>
      <w:lang w:eastAsia="cs-CZ"/>
    </w:rPr>
  </w:style>
  <w:style w:type="paragraph" w:customStyle="1" w:styleId="EAOdrkybod">
    <w:name w:val="EA_Odrážky_bod"/>
    <w:basedOn w:val="Odstavecseseznamem"/>
    <w:uiPriority w:val="99"/>
    <w:qFormat/>
    <w:rsid w:val="00115030"/>
    <w:pPr>
      <w:suppressAutoHyphens/>
    </w:pPr>
    <w:rPr>
      <w:rFonts w:eastAsia="Times New Roman" w:cs="Arial"/>
      <w:szCs w:val="20"/>
    </w:rPr>
  </w:style>
  <w:style w:type="paragraph" w:customStyle="1" w:styleId="EAOdrkykrouek">
    <w:name w:val="EA_Odrážky_kroužek"/>
    <w:basedOn w:val="EAOdrkybod"/>
    <w:uiPriority w:val="99"/>
    <w:qFormat/>
    <w:rsid w:val="00115030"/>
  </w:style>
  <w:style w:type="paragraph" w:styleId="Revize">
    <w:name w:val="Revision"/>
    <w:uiPriority w:val="99"/>
    <w:semiHidden/>
    <w:qFormat/>
    <w:rsid w:val="0057001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70012"/>
    <w:pPr>
      <w:ind w:left="284"/>
    </w:pPr>
    <w:rPr>
      <w:bCs/>
      <w:i w:val="0"/>
      <w:u w:val="none"/>
    </w:rPr>
  </w:style>
  <w:style w:type="paragraph" w:customStyle="1" w:styleId="EA3">
    <w:name w:val="EA 3"/>
    <w:link w:val="EA3Char"/>
    <w:qFormat/>
    <w:rsid w:val="00255DE7"/>
    <w:pPr>
      <w:ind w:left="1304" w:hanging="1304"/>
    </w:pPr>
    <w:rPr>
      <w:rFonts w:eastAsia="SimSun" w:cs="Arial"/>
      <w:b/>
      <w:szCs w:val="20"/>
      <w:lang w:eastAsia="cs-CZ"/>
    </w:rPr>
  </w:style>
  <w:style w:type="paragraph" w:customStyle="1" w:styleId="EA4">
    <w:name w:val="EA 4"/>
    <w:link w:val="EA4Char"/>
    <w:qFormat/>
    <w:rsid w:val="00255DE7"/>
    <w:pPr>
      <w:ind w:left="680" w:hanging="680"/>
    </w:pPr>
    <w:rPr>
      <w:rFonts w:eastAsia="SimSun" w:cs="Arial"/>
      <w:b/>
      <w:szCs w:val="20"/>
      <w:lang w:eastAsia="cs-CZ"/>
    </w:rPr>
  </w:style>
  <w:style w:type="paragraph" w:customStyle="1" w:styleId="Obsahrmce">
    <w:name w:val="Obsah rámce"/>
    <w:basedOn w:val="Normln"/>
    <w:qFormat/>
  </w:style>
  <w:style w:type="numbering" w:customStyle="1" w:styleId="TZ1">
    <w:name w:val="TZ 1"/>
    <w:uiPriority w:val="99"/>
    <w:qFormat/>
    <w:rsid w:val="00976D8C"/>
  </w:style>
  <w:style w:type="table" w:styleId="Mkatabulky">
    <w:name w:val="Table Grid"/>
    <w:basedOn w:val="Normlntabulka"/>
    <w:uiPriority w:val="59"/>
    <w:rsid w:val="00C76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rsid w:val="00782845"/>
    <w:pPr>
      <w:spacing w:before="120"/>
      <w:jc w:val="both"/>
    </w:pPr>
    <w:rPr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4Char">
    <w:name w:val="EA 4 Char"/>
    <w:basedOn w:val="Standardnpsmoodstavce"/>
    <w:link w:val="EA4"/>
    <w:rsid w:val="007C7765"/>
    <w:rPr>
      <w:rFonts w:eastAsia="SimSun" w:cs="Arial"/>
      <w:b/>
      <w:szCs w:val="20"/>
      <w:lang w:eastAsia="cs-CZ"/>
    </w:rPr>
  </w:style>
  <w:style w:type="paragraph" w:customStyle="1" w:styleId="Raztko">
    <w:name w:val="Razítko"/>
    <w:basedOn w:val="Normln"/>
    <w:rsid w:val="001D20B9"/>
    <w:pPr>
      <w:widowControl w:val="0"/>
      <w:tabs>
        <w:tab w:val="clear" w:pos="284"/>
      </w:tabs>
      <w:spacing w:line="280" w:lineRule="exact"/>
      <w:ind w:left="0" w:firstLine="0"/>
      <w:jc w:val="both"/>
    </w:pPr>
    <w:rPr>
      <w:rFonts w:ascii="Times New Roman" w:eastAsia="Times New Roman" w:hAnsi="Times New Roman" w:cs="Times New Roman"/>
      <w:kern w:val="28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ED73-A45D-402A-BB10-11DE9395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2201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Linek</dc:creator>
  <dc:description/>
  <cp:lastModifiedBy>Kristýna  Cestrová</cp:lastModifiedBy>
  <cp:revision>11</cp:revision>
  <cp:lastPrinted>2024-04-19T10:05:00Z</cp:lastPrinted>
  <dcterms:created xsi:type="dcterms:W3CDTF">2024-03-20T11:13:00Z</dcterms:created>
  <dcterms:modified xsi:type="dcterms:W3CDTF">2024-04-19T10:34:00Z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